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4" w:rsidRDefault="00355774" w:rsidP="00CB44A5">
      <w:pPr>
        <w:spacing w:line="240" w:lineRule="auto"/>
        <w:ind w:left="6804"/>
        <w:jc w:val="left"/>
        <w:rPr>
          <w:sz w:val="24"/>
          <w:rtl/>
        </w:rPr>
      </w:pPr>
      <w:bookmarkStart w:id="0" w:name="Date"/>
      <w:bookmarkStart w:id="1" w:name="_GoBack"/>
      <w:bookmarkEnd w:id="0"/>
      <w:bookmarkEnd w:id="1"/>
      <w:r>
        <w:rPr>
          <w:sz w:val="24"/>
          <w:rtl/>
        </w:rPr>
        <w:t xml:space="preserve">א' בשבט </w:t>
      </w:r>
      <w:proofErr w:type="spellStart"/>
      <w:r>
        <w:rPr>
          <w:sz w:val="24"/>
          <w:rtl/>
        </w:rPr>
        <w:t>התשע"ח</w:t>
      </w:r>
      <w:proofErr w:type="spellEnd"/>
      <w:r>
        <w:rPr>
          <w:sz w:val="24"/>
          <w:rtl/>
        </w:rPr>
        <w:br/>
        <w:t>17 בינואר 2018</w:t>
      </w:r>
    </w:p>
    <w:p w:rsidR="00355774" w:rsidRDefault="00355774" w:rsidP="00CB44A5">
      <w:pPr>
        <w:spacing w:line="240" w:lineRule="auto"/>
        <w:ind w:left="6804"/>
        <w:jc w:val="left"/>
        <w:rPr>
          <w:sz w:val="24"/>
          <w:rtl/>
        </w:rPr>
      </w:pPr>
      <w:bookmarkStart w:id="2" w:name="DocNum"/>
      <w:bookmarkEnd w:id="2"/>
      <w:r>
        <w:rPr>
          <w:sz w:val="24"/>
          <w:rtl/>
        </w:rPr>
        <w:t>תת 2017-2353</w:t>
      </w:r>
    </w:p>
    <w:p w:rsidR="00327F68" w:rsidRPr="00327F68" w:rsidRDefault="00327F68" w:rsidP="00327F68">
      <w:pPr>
        <w:jc w:val="left"/>
        <w:rPr>
          <w:b/>
          <w:bCs/>
          <w:sz w:val="24"/>
        </w:rPr>
      </w:pPr>
    </w:p>
    <w:p w:rsidR="00470361" w:rsidRDefault="00470361" w:rsidP="00123B29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bCs/>
          <w:sz w:val="28"/>
          <w:szCs w:val="28"/>
          <w:u w:val="single"/>
          <w:rtl/>
          <w:lang w:eastAsia="en-US"/>
        </w:rPr>
      </w:pPr>
    </w:p>
    <w:p w:rsidR="004D3853" w:rsidRDefault="004D3853" w:rsidP="00123B29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bCs/>
          <w:sz w:val="28"/>
          <w:szCs w:val="28"/>
          <w:rtl/>
          <w:lang w:eastAsia="en-US"/>
        </w:rPr>
      </w:pPr>
      <w:r w:rsidRPr="00327F68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 xml:space="preserve">לשכת תכנון תל אביב - הבהרות </w:t>
      </w:r>
      <w:r w:rsidR="00862B0A" w:rsidRPr="00327F68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 xml:space="preserve">מתכננת המחוז </w:t>
      </w:r>
      <w:r w:rsidRPr="00327F68">
        <w:rPr>
          <w:rFonts w:eastAsia="Calibri" w:hint="cs"/>
          <w:b/>
          <w:bCs/>
          <w:sz w:val="28"/>
          <w:szCs w:val="28"/>
          <w:u w:val="single"/>
          <w:rtl/>
          <w:lang w:eastAsia="en-US"/>
        </w:rPr>
        <w:t>בנוגע לנוהל בדיקת תנאי סף</w:t>
      </w:r>
      <w:r w:rsidRPr="004D3853">
        <w:rPr>
          <w:rFonts w:eastAsia="Calibri" w:hint="cs"/>
          <w:b/>
          <w:bCs/>
          <w:sz w:val="28"/>
          <w:szCs w:val="28"/>
          <w:rtl/>
          <w:lang w:eastAsia="en-US"/>
        </w:rPr>
        <w:t>:</w:t>
      </w:r>
    </w:p>
    <w:p w:rsidR="00123B29" w:rsidRPr="00123B29" w:rsidRDefault="00123B29" w:rsidP="00123B29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bCs/>
          <w:sz w:val="28"/>
          <w:szCs w:val="28"/>
          <w:rtl/>
          <w:lang w:eastAsia="en-US"/>
        </w:rPr>
      </w:pPr>
    </w:p>
    <w:p w:rsidR="004D3853" w:rsidRPr="00123B29" w:rsidRDefault="00123B29" w:rsidP="00123B2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Calibri"/>
          <w:b/>
          <w:bCs/>
          <w:sz w:val="28"/>
          <w:szCs w:val="28"/>
          <w:rtl/>
          <w:lang w:eastAsia="en-US"/>
        </w:rPr>
      </w:pPr>
      <w:r w:rsidRPr="00123B29">
        <w:rPr>
          <w:rFonts w:eastAsia="Calibri" w:hint="cs"/>
          <w:b/>
          <w:bCs/>
          <w:sz w:val="28"/>
          <w:szCs w:val="28"/>
          <w:rtl/>
          <w:lang w:eastAsia="en-US"/>
        </w:rPr>
        <w:t>רקע</w:t>
      </w:r>
      <w:r w:rsidR="004D3853" w:rsidRPr="00123B29">
        <w:rPr>
          <w:rFonts w:eastAsia="Calibri" w:hint="cs"/>
          <w:b/>
          <w:bCs/>
          <w:sz w:val="28"/>
          <w:szCs w:val="28"/>
          <w:rtl/>
          <w:lang w:eastAsia="en-US"/>
        </w:rPr>
        <w:t>:</w:t>
      </w:r>
    </w:p>
    <w:p w:rsidR="00862B0A" w:rsidRDefault="004D3853" w:rsidP="00862B0A">
      <w:pPr>
        <w:pStyle w:val="afe"/>
        <w:numPr>
          <w:ilvl w:val="0"/>
          <w:numId w:val="10"/>
        </w:num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lang w:eastAsia="en-US"/>
        </w:rPr>
      </w:pPr>
      <w:r w:rsidRPr="00862B0A">
        <w:rPr>
          <w:rFonts w:eastAsia="Calibri" w:hint="cs"/>
          <w:sz w:val="24"/>
          <w:rtl/>
          <w:lang w:eastAsia="en-US"/>
        </w:rPr>
        <w:t xml:space="preserve">שלב העמידה בתנאי הסף הינו שלב מהותי שנועד להבטיח כי מסמכי התכנית קריאים, נהירים ומאפשרים הבנה מלאה של השלכות התכנית המוצעת. </w:t>
      </w:r>
    </w:p>
    <w:p w:rsidR="00862B0A" w:rsidRDefault="000D6AB7" w:rsidP="00862B0A">
      <w:pPr>
        <w:pStyle w:val="afe"/>
        <w:numPr>
          <w:ilvl w:val="0"/>
          <w:numId w:val="10"/>
        </w:num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lang w:eastAsia="en-US"/>
        </w:rPr>
      </w:pPr>
      <w:r w:rsidRPr="00862B0A">
        <w:rPr>
          <w:rFonts w:eastAsia="Calibri" w:hint="cs"/>
          <w:sz w:val="24"/>
          <w:rtl/>
          <w:lang w:eastAsia="en-US"/>
        </w:rPr>
        <w:t xml:space="preserve">המסמך המפורט להלן נועד להבהיר סוגיות החוזרות על עצמן במסגרת בדיקת תנאי הסף של תכניות במחוז, וכן לתת דגשים הנובעים ממאפייני המחוז. </w:t>
      </w:r>
    </w:p>
    <w:p w:rsidR="000D6AB7" w:rsidRDefault="000D6AB7" w:rsidP="00862B0A">
      <w:pPr>
        <w:pStyle w:val="afe"/>
        <w:numPr>
          <w:ilvl w:val="0"/>
          <w:numId w:val="10"/>
        </w:num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lang w:eastAsia="en-US"/>
        </w:rPr>
      </w:pPr>
      <w:r w:rsidRPr="00862B0A">
        <w:rPr>
          <w:rFonts w:eastAsia="Calibri" w:hint="cs"/>
          <w:sz w:val="24"/>
          <w:rtl/>
          <w:lang w:eastAsia="en-US"/>
        </w:rPr>
        <w:t xml:space="preserve">הנוהל להלן, כמשלים לתנאי סף, מחייב בכל מקרה בחינה של כל מקרה לגופו תוך שמירה על שיקול דעת לסטות מהמפורט להלן. </w:t>
      </w:r>
    </w:p>
    <w:p w:rsidR="009A7BF5" w:rsidRPr="00862B0A" w:rsidRDefault="009A7BF5" w:rsidP="00862B0A">
      <w:pPr>
        <w:pStyle w:val="afe"/>
        <w:numPr>
          <w:ilvl w:val="0"/>
          <w:numId w:val="10"/>
        </w:num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rtl/>
          <w:lang w:eastAsia="en-US"/>
        </w:rPr>
      </w:pPr>
      <w:r>
        <w:rPr>
          <w:rFonts w:eastAsia="Calibri" w:hint="cs"/>
          <w:sz w:val="24"/>
          <w:rtl/>
          <w:lang w:eastAsia="en-US"/>
        </w:rPr>
        <w:t>נקודות עקרוניות העולות בהתאם לנוהל זה</w:t>
      </w:r>
      <w:r w:rsidR="007659C6">
        <w:rPr>
          <w:rFonts w:eastAsia="Calibri" w:hint="cs"/>
          <w:sz w:val="24"/>
          <w:rtl/>
          <w:lang w:eastAsia="en-US"/>
        </w:rPr>
        <w:t xml:space="preserve"> יש לכלול גם במסגרת הערות מתכננת המחוז. </w:t>
      </w:r>
    </w:p>
    <w:p w:rsidR="004D3853" w:rsidRPr="004D3853" w:rsidRDefault="004D3853" w:rsidP="004D385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eastAsia="Calibri"/>
          <w:sz w:val="24"/>
          <w:rtl/>
          <w:lang w:eastAsia="en-US"/>
        </w:rPr>
      </w:pPr>
    </w:p>
    <w:tbl>
      <w:tblPr>
        <w:tblStyle w:val="12"/>
        <w:bidiVisual/>
        <w:tblW w:w="0" w:type="auto"/>
        <w:tblLook w:val="04A0" w:firstRow="1" w:lastRow="0" w:firstColumn="1" w:lastColumn="0" w:noHBand="0" w:noVBand="1"/>
      </w:tblPr>
      <w:tblGrid>
        <w:gridCol w:w="1432"/>
        <w:gridCol w:w="1445"/>
        <w:gridCol w:w="2903"/>
        <w:gridCol w:w="2551"/>
        <w:gridCol w:w="959"/>
      </w:tblGrid>
      <w:tr w:rsidR="007659C6" w:rsidRPr="004D3853" w:rsidTr="00BF3EE9">
        <w:tc>
          <w:tcPr>
            <w:tcW w:w="1432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>מס' הפרק ו</w:t>
            </w:r>
            <w:r w:rsidRPr="00D61C6A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שם </w:t>
            </w:r>
          </w:p>
        </w:tc>
        <w:tc>
          <w:tcPr>
            <w:tcW w:w="1445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bCs/>
                <w:sz w:val="24"/>
                <w:rtl/>
                <w:lang w:eastAsia="en-US"/>
              </w:rPr>
            </w:pPr>
            <w:r w:rsidRPr="00D61C6A">
              <w:rPr>
                <w:rFonts w:hint="cs"/>
                <w:b/>
                <w:bCs/>
                <w:sz w:val="24"/>
                <w:rtl/>
                <w:lang w:eastAsia="en-US"/>
              </w:rPr>
              <w:t>מס' הסעיף ושם</w:t>
            </w:r>
          </w:p>
        </w:tc>
        <w:tc>
          <w:tcPr>
            <w:tcW w:w="2903" w:type="dxa"/>
          </w:tcPr>
          <w:p w:rsidR="007659C6" w:rsidRPr="004D3853" w:rsidRDefault="007659C6" w:rsidP="00327F6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>דגשי מתכננת מחוז</w:t>
            </w:r>
            <w:r w:rsidRPr="004D3853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ת"א </w:t>
            </w:r>
          </w:p>
        </w:tc>
        <w:tc>
          <w:tcPr>
            <w:tcW w:w="2551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bCs/>
                <w:sz w:val="24"/>
                <w:rtl/>
                <w:lang w:eastAsia="en-US"/>
              </w:rPr>
            </w:pPr>
            <w:r w:rsidRPr="004D3853">
              <w:rPr>
                <w:rFonts w:hint="cs"/>
                <w:b/>
                <w:bCs/>
                <w:sz w:val="24"/>
                <w:rtl/>
                <w:lang w:eastAsia="en-US"/>
              </w:rPr>
              <w:t>פירוט</w:t>
            </w:r>
          </w:p>
        </w:tc>
        <w:tc>
          <w:tcPr>
            <w:tcW w:w="959" w:type="dxa"/>
          </w:tcPr>
          <w:p w:rsidR="007659C6" w:rsidRPr="004D3853" w:rsidRDefault="00551CCE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האם </w:t>
            </w:r>
            <w:r w:rsidR="003828F8">
              <w:rPr>
                <w:rFonts w:hint="cs"/>
                <w:b/>
                <w:bCs/>
                <w:sz w:val="24"/>
                <w:rtl/>
                <w:lang w:eastAsia="en-US"/>
              </w:rPr>
              <w:t>לציין גם ב</w:t>
            </w: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מסגרת </w:t>
            </w:r>
            <w:r w:rsidR="007659C6">
              <w:rPr>
                <w:rFonts w:hint="cs"/>
                <w:b/>
                <w:bCs/>
                <w:sz w:val="24"/>
                <w:rtl/>
                <w:lang w:eastAsia="en-US"/>
              </w:rPr>
              <w:t>הערות מתכננת המחוז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1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מסמכים המחויבים בהתאם להוראות החוק. </w:t>
            </w:r>
          </w:p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</w:tc>
        <w:tc>
          <w:tcPr>
            <w:tcW w:w="1445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2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</w:t>
            </w:r>
            <w:r w:rsidRPr="004D3853">
              <w:rPr>
                <w:rFonts w:hint="cs"/>
                <w:sz w:val="24"/>
                <w:rtl/>
                <w:lang w:eastAsia="en-US"/>
              </w:rPr>
              <w:t>הוכחת זיקה לקרקע ע"י מגיש התכנית</w:t>
            </w:r>
          </w:p>
        </w:tc>
        <w:tc>
          <w:tcPr>
            <w:tcW w:w="2903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4D3853">
              <w:rPr>
                <w:rFonts w:hint="cs"/>
                <w:sz w:val="24"/>
                <w:rtl/>
                <w:lang w:eastAsia="en-US"/>
              </w:rPr>
              <w:t xml:space="preserve">נוסף על המפורט בנוהל </w:t>
            </w:r>
            <w:proofErr w:type="spellStart"/>
            <w:r w:rsidRPr="004D3853">
              <w:rPr>
                <w:rFonts w:hint="cs"/>
                <w:sz w:val="24"/>
                <w:rtl/>
                <w:lang w:eastAsia="en-US"/>
              </w:rPr>
              <w:t>מבא"ת</w:t>
            </w:r>
            <w:proofErr w:type="spellEnd"/>
            <w:r w:rsidRPr="004D3853">
              <w:rPr>
                <w:rFonts w:hint="cs"/>
                <w:sz w:val="24"/>
                <w:rtl/>
                <w:lang w:eastAsia="en-US"/>
              </w:rPr>
              <w:t xml:space="preserve"> יובהר כי בהתאם לסעיף 61א(ב1) לחוק התכנון והבנייה, תנאי להגשת תכנית על ידי "מי שיש לו עניין בקרקע", הוא </w:t>
            </w:r>
            <w:r w:rsidRPr="004D3853">
              <w:rPr>
                <w:rFonts w:hint="cs"/>
                <w:b/>
                <w:bCs/>
                <w:sz w:val="24"/>
                <w:rtl/>
                <w:lang w:eastAsia="en-US"/>
              </w:rPr>
              <w:t>חוות דעת היועץ המשפטי של מוסד התכנון</w:t>
            </w:r>
            <w:r w:rsidRPr="004D3853">
              <w:rPr>
                <w:rFonts w:hint="cs"/>
                <w:sz w:val="24"/>
                <w:rtl/>
                <w:lang w:eastAsia="en-US"/>
              </w:rPr>
              <w:t xml:space="preserve"> כי הוא עונה על התנאים המפורטים </w:t>
            </w:r>
            <w:proofErr w:type="spellStart"/>
            <w:r w:rsidRPr="004D3853">
              <w:rPr>
                <w:rFonts w:hint="cs"/>
                <w:sz w:val="24"/>
                <w:rtl/>
                <w:lang w:eastAsia="en-US"/>
              </w:rPr>
              <w:t>בס"ק</w:t>
            </w:r>
            <w:proofErr w:type="spellEnd"/>
            <w:r w:rsidRPr="004D3853">
              <w:rPr>
                <w:rFonts w:hint="cs"/>
                <w:sz w:val="24"/>
                <w:rtl/>
                <w:lang w:eastAsia="en-US"/>
              </w:rPr>
              <w:t xml:space="preserve"> 1 או </w:t>
            </w:r>
            <w:proofErr w:type="spellStart"/>
            <w:r w:rsidRPr="004D3853">
              <w:rPr>
                <w:rFonts w:hint="cs"/>
                <w:sz w:val="24"/>
                <w:rtl/>
                <w:lang w:eastAsia="en-US"/>
              </w:rPr>
              <w:t>בס"ק</w:t>
            </w:r>
            <w:proofErr w:type="spellEnd"/>
            <w:r w:rsidRPr="004D3853">
              <w:rPr>
                <w:rFonts w:hint="cs"/>
                <w:sz w:val="24"/>
                <w:rtl/>
                <w:lang w:eastAsia="en-US"/>
              </w:rPr>
              <w:t xml:space="preserve"> 2.</w:t>
            </w:r>
          </w:p>
          <w:p w:rsidR="007659C6" w:rsidRPr="00327F68" w:rsidRDefault="007659C6" w:rsidP="00327F6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327F68">
              <w:rPr>
                <w:rFonts w:hint="cs"/>
                <w:sz w:val="24"/>
                <w:rtl/>
                <w:lang w:eastAsia="en-US"/>
              </w:rPr>
              <w:t>*</w:t>
            </w:r>
            <w:r>
              <w:rPr>
                <w:rFonts w:hint="cs"/>
                <w:sz w:val="24"/>
                <w:rtl/>
                <w:lang w:eastAsia="en-US"/>
              </w:rPr>
              <w:t xml:space="preserve"> </w:t>
            </w:r>
            <w:r w:rsidRPr="00327F68">
              <w:rPr>
                <w:rFonts w:hint="cs"/>
                <w:b/>
                <w:bCs/>
                <w:sz w:val="24"/>
                <w:rtl/>
                <w:lang w:eastAsia="en-US"/>
              </w:rPr>
              <w:t>מוסד התכנון</w:t>
            </w:r>
            <w:r w:rsidRPr="00327F68">
              <w:rPr>
                <w:rFonts w:hint="cs"/>
                <w:sz w:val="24"/>
                <w:rtl/>
                <w:lang w:eastAsia="en-US"/>
              </w:rPr>
              <w:t xml:space="preserve"> = המוסד המוסמך לאשר את התכנית</w:t>
            </w:r>
          </w:p>
        </w:tc>
        <w:tc>
          <w:tcPr>
            <w:tcW w:w="2551" w:type="dxa"/>
          </w:tcPr>
          <w:p w:rsidR="007659C6" w:rsidRPr="004D3853" w:rsidRDefault="007659C6" w:rsidP="00327F6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4D3853">
              <w:rPr>
                <w:rFonts w:hint="cs"/>
                <w:sz w:val="24"/>
                <w:rtl/>
                <w:lang w:eastAsia="en-US"/>
              </w:rPr>
              <w:t xml:space="preserve">אישור בדבר עמידה בתנאי סף בתכניות אשר יש בתחומן בית משותף, או בתכניות המוגשות על גורם שאינו בעל זכויות בכל השטח הכלול בתחום התכנית, </w:t>
            </w:r>
            <w:r>
              <w:rPr>
                <w:rFonts w:hint="cs"/>
                <w:sz w:val="24"/>
                <w:rtl/>
                <w:lang w:eastAsia="en-US"/>
              </w:rPr>
              <w:t>מותנה</w:t>
            </w:r>
            <w:r w:rsidRPr="004D3853">
              <w:rPr>
                <w:rFonts w:hint="cs"/>
                <w:sz w:val="24"/>
                <w:rtl/>
                <w:lang w:eastAsia="en-US"/>
              </w:rPr>
              <w:t xml:space="preserve"> </w:t>
            </w:r>
            <w:r w:rsidRPr="00327F68">
              <w:rPr>
                <w:rFonts w:hint="cs"/>
                <w:b/>
                <w:bCs/>
                <w:sz w:val="24"/>
                <w:rtl/>
                <w:lang w:eastAsia="en-US"/>
              </w:rPr>
              <w:t>ב</w:t>
            </w:r>
            <w:r w:rsidRPr="004D3853">
              <w:rPr>
                <w:rFonts w:hint="cs"/>
                <w:b/>
                <w:bCs/>
                <w:sz w:val="24"/>
                <w:rtl/>
                <w:lang w:eastAsia="en-US"/>
              </w:rPr>
              <w:t>קבלת חוות הדעת של היועמ"ש של הוועדה המחוזית</w:t>
            </w:r>
            <w:r w:rsidRPr="004D3853">
              <w:rPr>
                <w:rFonts w:hint="cs"/>
                <w:sz w:val="24"/>
                <w:rtl/>
                <w:lang w:eastAsia="en-US"/>
              </w:rPr>
              <w:t>.</w:t>
            </w:r>
          </w:p>
        </w:tc>
        <w:tc>
          <w:tcPr>
            <w:tcW w:w="959" w:type="dxa"/>
          </w:tcPr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Pr="004D3853" w:rsidRDefault="007659C6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-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1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מסמכים המחויבים בהתאם להוראות החוק. </w:t>
            </w:r>
          </w:p>
        </w:tc>
        <w:tc>
          <w:tcPr>
            <w:tcW w:w="1445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3 - </w:t>
            </w:r>
            <w:r w:rsidRPr="004D3853">
              <w:rPr>
                <w:rFonts w:hint="cs"/>
                <w:sz w:val="24"/>
                <w:rtl/>
                <w:lang w:eastAsia="en-US"/>
              </w:rPr>
              <w:t>טבלאות איזון ו/או הקצאה</w:t>
            </w:r>
          </w:p>
        </w:tc>
        <w:tc>
          <w:tcPr>
            <w:tcW w:w="2903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4D3853">
              <w:rPr>
                <w:rFonts w:hint="cs"/>
                <w:sz w:val="24"/>
                <w:rtl/>
                <w:lang w:eastAsia="en-US"/>
              </w:rPr>
              <w:t>בתכניות איחוד וחלוקה הגשת טבלאות איזון ו/או הקצאה נדרשות בשלב הגשת המסמכים לקליטה.</w:t>
            </w:r>
          </w:p>
          <w:p w:rsidR="00470361" w:rsidRPr="004D3853" w:rsidRDefault="00470361" w:rsidP="0047036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470361">
              <w:rPr>
                <w:rFonts w:hint="cs"/>
                <w:sz w:val="24"/>
                <w:rtl/>
                <w:lang w:eastAsia="en-US"/>
              </w:rPr>
              <w:t>במקרה של</w:t>
            </w: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</w:t>
            </w:r>
            <w:r w:rsidRPr="00470361">
              <w:rPr>
                <w:rFonts w:hint="cs"/>
                <w:b/>
                <w:bCs/>
                <w:sz w:val="24"/>
                <w:rtl/>
                <w:lang w:eastAsia="en-US"/>
              </w:rPr>
              <w:t>איחוד וחלוקה בהסכמה</w:t>
            </w:r>
            <w:r>
              <w:rPr>
                <w:rFonts w:hint="cs"/>
                <w:sz w:val="24"/>
                <w:rtl/>
                <w:lang w:eastAsia="en-US"/>
              </w:rPr>
              <w:t xml:space="preserve"> יש לוודא בשלב תנאי הסף כי הטבלה חתומה ע"י כלל בעלי העניין.</w:t>
            </w:r>
          </w:p>
        </w:tc>
        <w:tc>
          <w:tcPr>
            <w:tcW w:w="2551" w:type="dxa"/>
          </w:tcPr>
          <w:p w:rsidR="007659C6" w:rsidRPr="004D3853" w:rsidRDefault="007659C6" w:rsidP="0047036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4D3853">
              <w:rPr>
                <w:rFonts w:hint="cs"/>
                <w:sz w:val="24"/>
                <w:rtl/>
                <w:lang w:eastAsia="en-US"/>
              </w:rPr>
              <w:t xml:space="preserve">אישור בדבר עמידה בתנאי סף </w:t>
            </w:r>
            <w:r>
              <w:rPr>
                <w:rFonts w:hint="cs"/>
                <w:sz w:val="24"/>
                <w:rtl/>
                <w:lang w:eastAsia="en-US"/>
              </w:rPr>
              <w:t xml:space="preserve">מותנה </w:t>
            </w:r>
            <w:r w:rsidRPr="00327F68">
              <w:rPr>
                <w:rFonts w:hint="cs"/>
                <w:b/>
                <w:bCs/>
                <w:sz w:val="24"/>
                <w:rtl/>
                <w:lang w:eastAsia="en-US"/>
              </w:rPr>
              <w:t>ב</w:t>
            </w:r>
            <w:r w:rsidRPr="004D3853">
              <w:rPr>
                <w:rFonts w:hint="cs"/>
                <w:b/>
                <w:bCs/>
                <w:sz w:val="24"/>
                <w:rtl/>
                <w:lang w:eastAsia="en-US"/>
              </w:rPr>
              <w:t>אישור שמאי הועדה</w:t>
            </w:r>
            <w:r w:rsidRPr="004D3853">
              <w:rPr>
                <w:rFonts w:hint="cs"/>
                <w:sz w:val="24"/>
                <w:rtl/>
                <w:lang w:eastAsia="en-US"/>
              </w:rPr>
              <w:t xml:space="preserve"> באשר </w:t>
            </w:r>
            <w:r w:rsidR="00470361">
              <w:rPr>
                <w:rFonts w:hint="cs"/>
                <w:sz w:val="24"/>
                <w:rtl/>
                <w:lang w:eastAsia="en-US"/>
              </w:rPr>
              <w:t>לעריכת המסמכים ע"פ התקן.</w:t>
            </w:r>
          </w:p>
        </w:tc>
        <w:tc>
          <w:tcPr>
            <w:tcW w:w="959" w:type="dxa"/>
          </w:tcPr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Pr="004D3853" w:rsidRDefault="007659C6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2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התאמת מסמכי התכנית לנוהל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מבא"ת</w:t>
            </w:r>
            <w:proofErr w:type="spellEnd"/>
          </w:p>
        </w:tc>
        <w:tc>
          <w:tcPr>
            <w:tcW w:w="1445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1 - נספחי התכנית: צירוף כל הנספחים שהוגדרו כחלק מסמכי התכנית </w:t>
            </w:r>
            <w:r>
              <w:rPr>
                <w:rFonts w:hint="cs"/>
                <w:sz w:val="24"/>
                <w:rtl/>
                <w:lang w:eastAsia="en-US"/>
              </w:rPr>
              <w:lastRenderedPageBreak/>
              <w:t>כמפורט בסעיף 1.7</w:t>
            </w:r>
          </w:p>
        </w:tc>
        <w:tc>
          <w:tcPr>
            <w:tcW w:w="2903" w:type="dxa"/>
          </w:tcPr>
          <w:p w:rsidR="007659C6" w:rsidRDefault="007659C6" w:rsidP="00875F1C">
            <w:pPr>
              <w:pStyle w:val="afe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lang w:eastAsia="en-US"/>
              </w:rPr>
            </w:pPr>
            <w:r w:rsidRPr="00875F1C">
              <w:rPr>
                <w:rFonts w:hint="cs"/>
                <w:sz w:val="24"/>
                <w:rtl/>
                <w:lang w:eastAsia="en-US"/>
              </w:rPr>
              <w:lastRenderedPageBreak/>
              <w:t xml:space="preserve">על מנת לא להעמיס על מסמכי התכנית הסטטוטוריים יש ליצור הבחנה בין מסמכים המחויבים ע"פ חוק לבין מסמכי רקע נלווים.  </w:t>
            </w:r>
          </w:p>
          <w:p w:rsidR="007659C6" w:rsidRDefault="007659C6" w:rsidP="00875F1C">
            <w:pPr>
              <w:pStyle w:val="afe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lang w:eastAsia="en-US"/>
              </w:rPr>
            </w:pPr>
            <w:r w:rsidRPr="00875F1C">
              <w:rPr>
                <w:rFonts w:hint="cs"/>
                <w:sz w:val="24"/>
                <w:rtl/>
                <w:lang w:eastAsia="en-US"/>
              </w:rPr>
              <w:t xml:space="preserve">בכל מקרה יש לוודא כי </w:t>
            </w:r>
            <w:r w:rsidRPr="00875F1C">
              <w:rPr>
                <w:rFonts w:hint="cs"/>
                <w:sz w:val="24"/>
                <w:rtl/>
                <w:lang w:eastAsia="en-US"/>
              </w:rPr>
              <w:lastRenderedPageBreak/>
              <w:t>מסמכי הרקע יופיעו בתיק התכנית לעיון הציבור, לעת הפקדתה.</w:t>
            </w:r>
          </w:p>
          <w:p w:rsidR="007659C6" w:rsidRPr="00127279" w:rsidRDefault="007659C6" w:rsidP="00142FE5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textAlignment w:val="auto"/>
              <w:rPr>
                <w:sz w:val="24"/>
                <w:rtl/>
                <w:lang w:eastAsia="en-US"/>
              </w:rPr>
            </w:pPr>
          </w:p>
        </w:tc>
        <w:tc>
          <w:tcPr>
            <w:tcW w:w="2551" w:type="dxa"/>
          </w:tcPr>
          <w:p w:rsidR="007659C6" w:rsidRDefault="007659C6" w:rsidP="00142FE5">
            <w:pPr>
              <w:pStyle w:val="afe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76" w:lineRule="auto"/>
              <w:ind w:left="159" w:hanging="159"/>
              <w:textAlignment w:val="auto"/>
              <w:rPr>
                <w:sz w:val="24"/>
                <w:lang w:eastAsia="en-US"/>
              </w:rPr>
            </w:pPr>
            <w:r w:rsidRPr="0042343A">
              <w:rPr>
                <w:rFonts w:hint="cs"/>
                <w:sz w:val="24"/>
                <w:rtl/>
                <w:lang w:eastAsia="en-US"/>
              </w:rPr>
              <w:lastRenderedPageBreak/>
              <w:t xml:space="preserve">דוגמאות לנספחי רקע: נספח הצללה, דו"ח כלכלי ע"פ תקן 21, תסקיר השפעה על הסביבה, </w:t>
            </w:r>
            <w:proofErr w:type="spellStart"/>
            <w:r w:rsidRPr="0042343A">
              <w:rPr>
                <w:rFonts w:hint="cs"/>
                <w:sz w:val="24"/>
                <w:rtl/>
                <w:lang w:eastAsia="en-US"/>
              </w:rPr>
              <w:t>בה"ת</w:t>
            </w:r>
            <w:proofErr w:type="spellEnd"/>
            <w:r w:rsidRPr="0042343A">
              <w:rPr>
                <w:rFonts w:hint="cs"/>
                <w:sz w:val="24"/>
                <w:rtl/>
                <w:lang w:eastAsia="en-US"/>
              </w:rPr>
              <w:t>, תיק תיעוד, סקר היסטורי, פרוגראמה לצרכי ציבור.</w:t>
            </w:r>
          </w:p>
          <w:p w:rsidR="007659C6" w:rsidRPr="00142FE5" w:rsidRDefault="007659C6" w:rsidP="00142FE5">
            <w:pPr>
              <w:pStyle w:val="afe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76" w:lineRule="auto"/>
              <w:ind w:left="159" w:hanging="159"/>
              <w:textAlignment w:val="auto"/>
              <w:rPr>
                <w:sz w:val="24"/>
                <w:rtl/>
                <w:lang w:eastAsia="en-US"/>
              </w:rPr>
            </w:pPr>
            <w:r w:rsidRPr="00142FE5">
              <w:rPr>
                <w:rFonts w:hint="cs"/>
                <w:sz w:val="24"/>
                <w:rtl/>
                <w:lang w:eastAsia="en-US"/>
              </w:rPr>
              <w:lastRenderedPageBreak/>
              <w:t>חשוב לבחון כל תכנית בהתאם למאפייניה הספציפיים</w:t>
            </w:r>
            <w:r>
              <w:rPr>
                <w:rFonts w:hint="cs"/>
                <w:sz w:val="24"/>
                <w:rtl/>
                <w:lang w:eastAsia="en-US"/>
              </w:rPr>
              <w:t xml:space="preserve"> ולבדוק מה נדרש להיות כלול במסמכי התכנית ומה יכול להוות מסמך רקע</w:t>
            </w:r>
            <w:r w:rsidRPr="00142FE5">
              <w:rPr>
                <w:rFonts w:hint="cs"/>
                <w:sz w:val="24"/>
                <w:rtl/>
                <w:lang w:eastAsia="en-US"/>
              </w:rPr>
              <w:t>.</w:t>
            </w:r>
          </w:p>
        </w:tc>
        <w:tc>
          <w:tcPr>
            <w:tcW w:w="959" w:type="dxa"/>
          </w:tcPr>
          <w:p w:rsidR="007659C6" w:rsidRDefault="007659C6" w:rsidP="00551CC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551CC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551CC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Pr="00551CCE" w:rsidRDefault="00551CCE" w:rsidP="00551CC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-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lastRenderedPageBreak/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א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צירוף מסמך תיאור כללי בתכניות גדולות</w:t>
            </w:r>
          </w:p>
        </w:tc>
        <w:tc>
          <w:tcPr>
            <w:tcW w:w="2903" w:type="dxa"/>
          </w:tcPr>
          <w:p w:rsidR="007659C6" w:rsidRDefault="007659C6" w:rsidP="007C6876">
            <w:pPr>
              <w:pStyle w:val="afe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 w:rsidRPr="007C6876">
              <w:rPr>
                <w:rFonts w:hint="cs"/>
                <w:sz w:val="24"/>
                <w:rtl/>
                <w:lang w:eastAsia="en-US"/>
              </w:rPr>
              <w:t xml:space="preserve">הגשת מסמך המציג את המפורט בנוהל </w:t>
            </w:r>
            <w:proofErr w:type="spellStart"/>
            <w:r w:rsidRPr="007C6876">
              <w:rPr>
                <w:rFonts w:hint="cs"/>
                <w:sz w:val="24"/>
                <w:rtl/>
                <w:lang w:eastAsia="en-US"/>
              </w:rPr>
              <w:t>מבא"ת</w:t>
            </w:r>
            <w:proofErr w:type="spellEnd"/>
            <w:r w:rsidRPr="007C6876">
              <w:rPr>
                <w:rFonts w:hint="cs"/>
                <w:sz w:val="24"/>
                <w:rtl/>
                <w:lang w:eastAsia="en-US"/>
              </w:rPr>
              <w:t xml:space="preserve"> באופן המשקף את עקרונות התכנון והתועלות הציבוריות בתכנית. </w:t>
            </w:r>
          </w:p>
          <w:p w:rsidR="007659C6" w:rsidRPr="007C6876" w:rsidRDefault="007659C6" w:rsidP="007C6876">
            <w:pPr>
              <w:pStyle w:val="afe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7C6876">
              <w:rPr>
                <w:rFonts w:hint="cs"/>
                <w:sz w:val="24"/>
                <w:rtl/>
                <w:lang w:eastAsia="en-US"/>
              </w:rPr>
              <w:t xml:space="preserve">תכניות הכוללות מעל 200 יח"ד מחויבות בהגשת פרוגראמה לצרכי ציבור. </w:t>
            </w:r>
          </w:p>
        </w:tc>
        <w:tc>
          <w:tcPr>
            <w:tcW w:w="2551" w:type="dxa"/>
          </w:tcPr>
          <w:p w:rsidR="007659C6" w:rsidRDefault="007659C6" w:rsidP="007C6876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75" w:hanging="175"/>
              <w:jc w:val="left"/>
              <w:textAlignment w:val="auto"/>
              <w:rPr>
                <w:sz w:val="24"/>
                <w:lang w:eastAsia="en-US"/>
              </w:rPr>
            </w:pPr>
            <w:r w:rsidRPr="007C6876">
              <w:rPr>
                <w:rFonts w:hint="cs"/>
                <w:sz w:val="24"/>
                <w:rtl/>
                <w:lang w:eastAsia="en-US"/>
              </w:rPr>
              <w:t xml:space="preserve">הכוונה </w:t>
            </w:r>
            <w:r>
              <w:rPr>
                <w:rFonts w:hint="cs"/>
                <w:sz w:val="24"/>
                <w:rtl/>
                <w:lang w:eastAsia="en-US"/>
              </w:rPr>
              <w:t>לקבל מסמך</w:t>
            </w:r>
            <w:r w:rsidRPr="007C6876">
              <w:rPr>
                <w:rFonts w:hint="cs"/>
                <w:sz w:val="24"/>
                <w:rtl/>
                <w:lang w:eastAsia="en-US"/>
              </w:rPr>
              <w:t xml:space="preserve"> דומה לדברי ההסבר לתכנית אך רחב ממנו.</w:t>
            </w:r>
          </w:p>
          <w:p w:rsidR="007659C6" w:rsidRPr="007C6876" w:rsidRDefault="007659C6" w:rsidP="00F24618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75" w:hanging="175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7C6876">
              <w:rPr>
                <w:rFonts w:hint="cs"/>
                <w:sz w:val="24"/>
                <w:rtl/>
                <w:lang w:eastAsia="en-US"/>
              </w:rPr>
              <w:t xml:space="preserve">בהגשת פרוגראמה לצרכי ציבור יש לכלול את התוספת הפרוגרמתית הנדרשת עבור </w:t>
            </w:r>
            <w:r w:rsidRPr="00142FE5">
              <w:rPr>
                <w:rFonts w:hint="cs"/>
                <w:sz w:val="24"/>
                <w:u w:val="single"/>
                <w:rtl/>
                <w:lang w:eastAsia="en-US"/>
              </w:rPr>
              <w:t>כלל שירותי הציבור</w:t>
            </w:r>
            <w:r w:rsidRPr="007C6876">
              <w:rPr>
                <w:rFonts w:hint="cs"/>
                <w:sz w:val="24"/>
                <w:rtl/>
                <w:lang w:eastAsia="en-US"/>
              </w:rPr>
              <w:t xml:space="preserve">, ולא רק עבור חינוך.  </w:t>
            </w:r>
          </w:p>
        </w:tc>
        <w:tc>
          <w:tcPr>
            <w:tcW w:w="959" w:type="dxa"/>
          </w:tcPr>
          <w:p w:rsidR="00551CCE" w:rsidRDefault="00551CCE" w:rsidP="007659C6">
            <w:pPr>
              <w:tabs>
                <w:tab w:val="left" w:pos="671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tabs>
                <w:tab w:val="left" w:pos="671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tabs>
                <w:tab w:val="left" w:pos="671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tabs>
                <w:tab w:val="left" w:pos="671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Pr="007659C6" w:rsidRDefault="007659C6" w:rsidP="007659C6">
            <w:pPr>
              <w:tabs>
                <w:tab w:val="left" w:pos="671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 </w:t>
            </w:r>
          </w:p>
        </w:tc>
        <w:tc>
          <w:tcPr>
            <w:tcW w:w="1445" w:type="dxa"/>
          </w:tcPr>
          <w:p w:rsidR="007659C6" w:rsidRPr="004D3853" w:rsidRDefault="007659C6" w:rsidP="00142FE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ב - היבטי תשתיות (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ס"ק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1,2) - נספח תנועה עקרוני ו/או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בה"ת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מקדימה</w:t>
            </w:r>
          </w:p>
        </w:tc>
        <w:tc>
          <w:tcPr>
            <w:tcW w:w="2903" w:type="dxa"/>
          </w:tcPr>
          <w:p w:rsidR="007659C6" w:rsidRDefault="007659C6" w:rsidP="00AC1697">
            <w:pPr>
              <w:pStyle w:val="afe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ככלל, הדגש במסמכי התנועה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והבה"ת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הוא על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תח"צ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>.</w:t>
            </w:r>
          </w:p>
          <w:p w:rsidR="007659C6" w:rsidRDefault="007659C6" w:rsidP="00AC1697">
            <w:pPr>
              <w:pStyle w:val="afe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בתכניות גדולות או בתכניות הממוקמות באזורים מרכזיים נדרש נספח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תח"צ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. </w:t>
            </w:r>
          </w:p>
          <w:p w:rsidR="007659C6" w:rsidRDefault="007659C6" w:rsidP="00AC1697">
            <w:pPr>
              <w:pStyle w:val="afe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proofErr w:type="spellStart"/>
            <w:r w:rsidRPr="00142FE5">
              <w:rPr>
                <w:rFonts w:hint="cs"/>
                <w:sz w:val="24"/>
                <w:rtl/>
                <w:lang w:eastAsia="en-US"/>
              </w:rPr>
              <w:t>בה"ת</w:t>
            </w:r>
            <w:proofErr w:type="spellEnd"/>
            <w:r w:rsidRPr="00142FE5">
              <w:rPr>
                <w:rFonts w:hint="cs"/>
                <w:sz w:val="24"/>
                <w:rtl/>
                <w:lang w:eastAsia="en-US"/>
              </w:rPr>
              <w:t xml:space="preserve"> מקדימה תידרש בכל תכנית הכוללת יותר מ </w:t>
            </w:r>
            <w:r w:rsidRPr="00142FE5">
              <w:rPr>
                <w:sz w:val="24"/>
                <w:rtl/>
                <w:lang w:eastAsia="en-US"/>
              </w:rPr>
              <w:t>–</w:t>
            </w:r>
            <w:r w:rsidRPr="00142FE5">
              <w:rPr>
                <w:rFonts w:hint="cs"/>
                <w:sz w:val="24"/>
                <w:rtl/>
                <w:lang w:eastAsia="en-US"/>
              </w:rPr>
              <w:t xml:space="preserve"> 200 יח"ד ו/או יותר מ - 5,000 מ"ר למסחר ו/או תעסוקה.</w:t>
            </w:r>
          </w:p>
          <w:p w:rsidR="007659C6" w:rsidRPr="00AC1697" w:rsidRDefault="007659C6" w:rsidP="00AC1697">
            <w:pPr>
              <w:pStyle w:val="afe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142FE5">
              <w:rPr>
                <w:rFonts w:hint="cs"/>
                <w:sz w:val="24"/>
                <w:rtl/>
                <w:lang w:eastAsia="en-US"/>
              </w:rPr>
              <w:t xml:space="preserve">תכניות הכוללות מעל 500 יח"ד מחייבות </w:t>
            </w:r>
            <w:proofErr w:type="spellStart"/>
            <w:r w:rsidRPr="00142FE5">
              <w:rPr>
                <w:rFonts w:hint="cs"/>
                <w:sz w:val="24"/>
                <w:rtl/>
                <w:lang w:eastAsia="en-US"/>
              </w:rPr>
              <w:t>בה"ת</w:t>
            </w:r>
            <w:proofErr w:type="spellEnd"/>
            <w:r w:rsidRPr="00142FE5">
              <w:rPr>
                <w:rFonts w:hint="cs"/>
                <w:sz w:val="24"/>
                <w:rtl/>
                <w:lang w:eastAsia="en-US"/>
              </w:rPr>
              <w:t xml:space="preserve"> מלאה.</w:t>
            </w:r>
          </w:p>
        </w:tc>
        <w:tc>
          <w:tcPr>
            <w:tcW w:w="2551" w:type="dxa"/>
          </w:tcPr>
          <w:p w:rsidR="007659C6" w:rsidRDefault="007659C6" w:rsidP="00AC1697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75" w:hanging="175"/>
              <w:textAlignment w:val="auto"/>
              <w:rPr>
                <w:sz w:val="24"/>
                <w:lang w:eastAsia="en-US"/>
              </w:rPr>
            </w:pPr>
            <w:r w:rsidRPr="00AC1697">
              <w:rPr>
                <w:rFonts w:hint="cs"/>
                <w:sz w:val="24"/>
                <w:rtl/>
                <w:lang w:eastAsia="en-US"/>
              </w:rPr>
              <w:t xml:space="preserve">עמידה בתנאי סף מותנית בקבלת </w:t>
            </w:r>
            <w:r w:rsidRPr="00AC1697">
              <w:rPr>
                <w:rFonts w:hint="cs"/>
                <w:b/>
                <w:bCs/>
                <w:sz w:val="24"/>
                <w:rtl/>
                <w:lang w:eastAsia="en-US"/>
              </w:rPr>
              <w:t>אישור יועץ התנועה</w:t>
            </w:r>
            <w:r w:rsidRPr="00AC1697">
              <w:rPr>
                <w:rFonts w:hint="cs"/>
                <w:sz w:val="24"/>
                <w:rtl/>
                <w:lang w:eastAsia="en-US"/>
              </w:rPr>
              <w:t xml:space="preserve"> של לשכת התכנון בנוגע </w:t>
            </w:r>
            <w:r w:rsidRPr="00AC1697">
              <w:rPr>
                <w:rFonts w:hint="cs"/>
                <w:b/>
                <w:bCs/>
                <w:sz w:val="24"/>
                <w:rtl/>
                <w:lang w:eastAsia="en-US"/>
              </w:rPr>
              <w:t>לתקינות</w:t>
            </w:r>
            <w:r w:rsidRPr="00AC1697">
              <w:rPr>
                <w:rFonts w:hint="cs"/>
                <w:sz w:val="24"/>
                <w:rtl/>
                <w:lang w:eastAsia="en-US"/>
              </w:rPr>
              <w:t xml:space="preserve"> </w:t>
            </w:r>
            <w:proofErr w:type="spellStart"/>
            <w:r w:rsidRPr="00AC1697">
              <w:rPr>
                <w:rFonts w:hint="cs"/>
                <w:sz w:val="24"/>
                <w:rtl/>
                <w:lang w:eastAsia="en-US"/>
              </w:rPr>
              <w:t>הבה"ת</w:t>
            </w:r>
            <w:proofErr w:type="spellEnd"/>
            <w:r w:rsidRPr="00AC1697">
              <w:rPr>
                <w:rFonts w:hint="cs"/>
                <w:sz w:val="24"/>
                <w:rtl/>
                <w:lang w:eastAsia="en-US"/>
              </w:rPr>
              <w:t xml:space="preserve"> </w:t>
            </w:r>
            <w:r>
              <w:rPr>
                <w:rFonts w:hint="cs"/>
                <w:sz w:val="24"/>
                <w:rtl/>
                <w:lang w:eastAsia="en-US"/>
              </w:rPr>
              <w:t>המקדימה.</w:t>
            </w:r>
          </w:p>
          <w:p w:rsidR="007659C6" w:rsidRDefault="007659C6" w:rsidP="00AC1697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75" w:hanging="175"/>
              <w:textAlignment w:val="auto"/>
              <w:rPr>
                <w:sz w:val="24"/>
                <w:lang w:eastAsia="en-US"/>
              </w:rPr>
            </w:pPr>
            <w:r w:rsidRPr="00AC1697">
              <w:rPr>
                <w:rFonts w:hint="cs"/>
                <w:sz w:val="24"/>
                <w:rtl/>
                <w:lang w:eastAsia="en-US"/>
              </w:rPr>
              <w:t xml:space="preserve">ככל שתוצאות </w:t>
            </w:r>
            <w:proofErr w:type="spellStart"/>
            <w:r w:rsidRPr="00AC1697">
              <w:rPr>
                <w:rFonts w:hint="cs"/>
                <w:sz w:val="24"/>
                <w:rtl/>
                <w:lang w:eastAsia="en-US"/>
              </w:rPr>
              <w:t>הבה"ת</w:t>
            </w:r>
            <w:proofErr w:type="spellEnd"/>
            <w:r w:rsidRPr="00AC1697">
              <w:rPr>
                <w:rFonts w:hint="cs"/>
                <w:sz w:val="24"/>
                <w:rtl/>
                <w:lang w:eastAsia="en-US"/>
              </w:rPr>
              <w:t xml:space="preserve"> המקדימה יראו את הצורך בהכנת </w:t>
            </w:r>
            <w:proofErr w:type="spellStart"/>
            <w:r w:rsidRPr="00AC1697">
              <w:rPr>
                <w:rFonts w:hint="cs"/>
                <w:sz w:val="24"/>
                <w:rtl/>
                <w:lang w:eastAsia="en-US"/>
              </w:rPr>
              <w:t>בה"ת</w:t>
            </w:r>
            <w:proofErr w:type="spellEnd"/>
            <w:r w:rsidRPr="00AC1697">
              <w:rPr>
                <w:rFonts w:hint="cs"/>
                <w:sz w:val="24"/>
                <w:rtl/>
                <w:lang w:eastAsia="en-US"/>
              </w:rPr>
              <w:t xml:space="preserve">, לא יינתן אישור בדבר עמידה בתנאי סף עד להגשת </w:t>
            </w:r>
            <w:proofErr w:type="spellStart"/>
            <w:r w:rsidRPr="00AC1697">
              <w:rPr>
                <w:rFonts w:hint="cs"/>
                <w:sz w:val="24"/>
                <w:rtl/>
                <w:lang w:eastAsia="en-US"/>
              </w:rPr>
              <w:t>הבה"ת</w:t>
            </w:r>
            <w:proofErr w:type="spellEnd"/>
            <w:r w:rsidRPr="00AC1697">
              <w:rPr>
                <w:rFonts w:hint="cs"/>
                <w:sz w:val="24"/>
                <w:rtl/>
                <w:lang w:eastAsia="en-US"/>
              </w:rPr>
              <w:t xml:space="preserve"> המלאה. </w:t>
            </w:r>
          </w:p>
          <w:p w:rsidR="007659C6" w:rsidRPr="008E04A6" w:rsidRDefault="007659C6" w:rsidP="008E04A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rtl/>
                <w:lang w:eastAsia="en-US"/>
              </w:rPr>
            </w:pPr>
          </w:p>
        </w:tc>
        <w:tc>
          <w:tcPr>
            <w:tcW w:w="959" w:type="dxa"/>
          </w:tcPr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Pr="007659C6" w:rsidRDefault="007659C6" w:rsidP="007659C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ב- היבטי תשתיות (סעיפים 3 ו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4)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צירוף נספח ניקוז עקרוני ופתרון קצה לביוב</w:t>
            </w:r>
          </w:p>
        </w:tc>
        <w:tc>
          <w:tcPr>
            <w:tcW w:w="2903" w:type="dxa"/>
          </w:tcPr>
          <w:p w:rsidR="007659C6" w:rsidRDefault="007659C6" w:rsidP="009D56C6">
            <w:pPr>
              <w:pStyle w:val="afe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 w:rsidRPr="00AC1697">
              <w:rPr>
                <w:rFonts w:hint="cs"/>
                <w:sz w:val="24"/>
                <w:rtl/>
                <w:lang w:eastAsia="en-US"/>
              </w:rPr>
              <w:t xml:space="preserve">בהתאם </w:t>
            </w:r>
            <w:proofErr w:type="spellStart"/>
            <w:r w:rsidRPr="00AC1697">
              <w:rPr>
                <w:rFonts w:hint="cs"/>
                <w:sz w:val="24"/>
                <w:rtl/>
                <w:lang w:eastAsia="en-US"/>
              </w:rPr>
              <w:t>לתמ"מ</w:t>
            </w:r>
            <w:proofErr w:type="spellEnd"/>
            <w:r w:rsidRPr="00AC1697">
              <w:rPr>
                <w:rFonts w:hint="cs"/>
                <w:sz w:val="24"/>
                <w:rtl/>
                <w:lang w:eastAsia="en-US"/>
              </w:rPr>
              <w:t xml:space="preserve"> 5 </w:t>
            </w:r>
            <w:r w:rsidRPr="009D56C6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בנייה גבוהה </w:t>
            </w:r>
            <w:r w:rsidRPr="00AC1697">
              <w:rPr>
                <w:rFonts w:hint="cs"/>
                <w:sz w:val="24"/>
                <w:rtl/>
                <w:lang w:eastAsia="en-US"/>
              </w:rPr>
              <w:t xml:space="preserve"> מחייבת צירוף נספח תשתיות. </w:t>
            </w:r>
          </w:p>
          <w:p w:rsidR="007659C6" w:rsidRDefault="007659C6" w:rsidP="00C726C8">
            <w:pPr>
              <w:pStyle w:val="afe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 w:rsidRPr="00AC1697">
              <w:rPr>
                <w:rFonts w:hint="cs"/>
                <w:sz w:val="24"/>
                <w:rtl/>
                <w:lang w:eastAsia="en-US"/>
              </w:rPr>
              <w:t>בנוסף, יש ל</w:t>
            </w:r>
            <w:r>
              <w:rPr>
                <w:rFonts w:hint="cs"/>
                <w:sz w:val="24"/>
                <w:rtl/>
                <w:lang w:eastAsia="en-US"/>
              </w:rPr>
              <w:t>דרוש</w:t>
            </w:r>
            <w:r w:rsidRPr="00AC1697">
              <w:rPr>
                <w:rFonts w:hint="cs"/>
                <w:sz w:val="24"/>
                <w:rtl/>
                <w:lang w:eastAsia="en-US"/>
              </w:rPr>
              <w:t xml:space="preserve"> נספח תשתיות </w:t>
            </w:r>
            <w:r w:rsidRPr="009D56C6">
              <w:rPr>
                <w:rFonts w:hint="cs"/>
                <w:b/>
                <w:bCs/>
                <w:sz w:val="24"/>
                <w:rtl/>
                <w:lang w:eastAsia="en-US"/>
              </w:rPr>
              <w:t>בתכניות גדולות ומשמעותיות</w:t>
            </w:r>
            <w:r w:rsidRPr="00AC1697">
              <w:rPr>
                <w:rFonts w:hint="cs"/>
                <w:sz w:val="24"/>
                <w:rtl/>
                <w:lang w:eastAsia="en-US"/>
              </w:rPr>
              <w:t xml:space="preserve"> או בפרויקטים של </w:t>
            </w:r>
            <w:r w:rsidRPr="009D56C6">
              <w:rPr>
                <w:rFonts w:hint="cs"/>
                <w:b/>
                <w:bCs/>
                <w:sz w:val="24"/>
                <w:rtl/>
                <w:lang w:eastAsia="en-US"/>
              </w:rPr>
              <w:t>פינוי בינוי</w:t>
            </w:r>
            <w:r>
              <w:rPr>
                <w:rFonts w:hint="cs"/>
                <w:sz w:val="24"/>
                <w:rtl/>
                <w:lang w:eastAsia="en-US"/>
              </w:rPr>
              <w:t xml:space="preserve">. </w:t>
            </w:r>
          </w:p>
          <w:p w:rsidR="008058AF" w:rsidRPr="008058AF" w:rsidRDefault="008058AF" w:rsidP="008058AF">
            <w:pPr>
              <w:pStyle w:val="afe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ניהול נגר </w:t>
            </w:r>
            <w:r w:rsidRPr="008058AF">
              <w:rPr>
                <w:rFonts w:hint="cs"/>
                <w:sz w:val="24"/>
                <w:rtl/>
                <w:lang w:eastAsia="en-US"/>
              </w:rPr>
              <w:t xml:space="preserve">כנספח נפרד או כחלק מנספח הבינוי ו/או הנוף, וכן </w:t>
            </w:r>
            <w:r>
              <w:rPr>
                <w:rFonts w:hint="cs"/>
                <w:sz w:val="24"/>
                <w:rtl/>
                <w:lang w:eastAsia="en-US"/>
              </w:rPr>
              <w:t xml:space="preserve">התייחסות </w:t>
            </w:r>
            <w:r w:rsidRPr="008058AF">
              <w:rPr>
                <w:rFonts w:hint="cs"/>
                <w:sz w:val="24"/>
                <w:rtl/>
                <w:lang w:eastAsia="en-US"/>
              </w:rPr>
              <w:t>בהוראות התכנית</w:t>
            </w: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נדרש תמיד. </w:t>
            </w:r>
          </w:p>
          <w:p w:rsidR="007659C6" w:rsidRPr="008058AF" w:rsidRDefault="008058AF" w:rsidP="008058AF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8058AF">
              <w:rPr>
                <w:rFonts w:hint="cs"/>
                <w:sz w:val="24"/>
                <w:rtl/>
                <w:lang w:eastAsia="en-US"/>
              </w:rPr>
              <w:t>כשנושא הנגר מוצג בבינוי יש ל</w:t>
            </w:r>
            <w:r>
              <w:rPr>
                <w:rFonts w:hint="cs"/>
                <w:sz w:val="24"/>
                <w:rtl/>
                <w:lang w:eastAsia="en-US"/>
              </w:rPr>
              <w:t xml:space="preserve">הציג </w:t>
            </w:r>
            <w:r w:rsidRPr="008058AF">
              <w:rPr>
                <w:rFonts w:hint="cs"/>
                <w:sz w:val="24"/>
                <w:rtl/>
                <w:lang w:eastAsia="en-US"/>
              </w:rPr>
              <w:t>את היקף</w:t>
            </w: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</w:t>
            </w:r>
            <w:r w:rsidR="00F24618">
              <w:rPr>
                <w:rFonts w:hint="cs"/>
                <w:sz w:val="24"/>
                <w:rtl/>
                <w:lang w:eastAsia="en-US"/>
              </w:rPr>
              <w:t>התכסית הפנויה לחלחול</w:t>
            </w:r>
            <w:r>
              <w:rPr>
                <w:rFonts w:hint="cs"/>
                <w:sz w:val="24"/>
                <w:rtl/>
                <w:lang w:eastAsia="en-US"/>
              </w:rPr>
              <w:t xml:space="preserve"> בהתאמה להוראות.</w:t>
            </w:r>
            <w:r w:rsidR="00F24618">
              <w:rPr>
                <w:rFonts w:hint="cs"/>
                <w:sz w:val="24"/>
                <w:rtl/>
                <w:lang w:eastAsia="en-US"/>
              </w:rPr>
              <w:t xml:space="preserve"> </w:t>
            </w:r>
            <w:r w:rsidR="007659C6">
              <w:rPr>
                <w:rFonts w:hint="cs"/>
                <w:sz w:val="24"/>
                <w:rtl/>
                <w:lang w:eastAsia="en-US"/>
              </w:rPr>
              <w:lastRenderedPageBreak/>
              <w:t xml:space="preserve">במקרים ספציפיים ניתן לפטור מנושא זה. </w:t>
            </w:r>
          </w:p>
          <w:p w:rsidR="007659C6" w:rsidRDefault="007659C6" w:rsidP="009D56C6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9D56C6">
              <w:rPr>
                <w:rFonts w:hint="cs"/>
                <w:sz w:val="24"/>
                <w:rtl/>
                <w:lang w:eastAsia="en-US"/>
              </w:rPr>
              <w:t>*</w:t>
            </w:r>
            <w:r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</w:t>
            </w:r>
            <w:r w:rsidRPr="009D56C6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בנייה גבוהה ע"פ </w:t>
            </w:r>
            <w:proofErr w:type="spellStart"/>
            <w:r w:rsidRPr="009D56C6">
              <w:rPr>
                <w:rFonts w:hint="cs"/>
                <w:b/>
                <w:bCs/>
                <w:sz w:val="24"/>
                <w:rtl/>
                <w:lang w:eastAsia="en-US"/>
              </w:rPr>
              <w:t>תמ"מ</w:t>
            </w:r>
            <w:proofErr w:type="spellEnd"/>
            <w:r w:rsidRPr="009D56C6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5</w:t>
            </w:r>
            <w:r w:rsidRPr="009D56C6">
              <w:rPr>
                <w:rFonts w:hint="cs"/>
                <w:sz w:val="24"/>
                <w:rtl/>
                <w:lang w:eastAsia="en-US"/>
              </w:rPr>
              <w:t xml:space="preserve"> = בנייה העולה על 20 קומות ולא פחות מ </w:t>
            </w:r>
            <w:r w:rsidRPr="009D56C6">
              <w:rPr>
                <w:sz w:val="24"/>
                <w:rtl/>
                <w:lang w:eastAsia="en-US"/>
              </w:rPr>
              <w:t>–</w:t>
            </w:r>
            <w:r w:rsidRPr="009D56C6">
              <w:rPr>
                <w:rFonts w:hint="cs"/>
                <w:sz w:val="24"/>
                <w:rtl/>
                <w:lang w:eastAsia="en-US"/>
              </w:rPr>
              <w:t xml:space="preserve"> 50 מ'.</w:t>
            </w:r>
          </w:p>
          <w:p w:rsidR="007659C6" w:rsidRPr="009D56C6" w:rsidRDefault="007659C6" w:rsidP="009D56C6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327F68">
              <w:rPr>
                <w:rFonts w:hint="cs"/>
                <w:sz w:val="24"/>
                <w:rtl/>
                <w:lang w:eastAsia="en-US"/>
              </w:rPr>
              <w:t>*</w:t>
            </w:r>
            <w:r>
              <w:rPr>
                <w:rFonts w:hint="cs"/>
                <w:sz w:val="24"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  <w:lang w:eastAsia="en-US"/>
              </w:rPr>
              <w:t>תכנית גדולה ומשמעותית</w:t>
            </w:r>
            <w:r w:rsidRPr="00327F68">
              <w:rPr>
                <w:rFonts w:hint="cs"/>
                <w:sz w:val="24"/>
                <w:rtl/>
                <w:lang w:eastAsia="en-US"/>
              </w:rPr>
              <w:t xml:space="preserve"> = </w:t>
            </w:r>
            <w:r>
              <w:rPr>
                <w:rFonts w:hint="cs"/>
                <w:sz w:val="24"/>
                <w:rtl/>
                <w:lang w:eastAsia="en-US"/>
              </w:rPr>
              <w:t xml:space="preserve">תכנית החלה בשטח של מעל 10 דונם וכוללת תוספת של 200 יח"ד ו/או 20,000 מ"ר. </w:t>
            </w:r>
          </w:p>
        </w:tc>
        <w:tc>
          <w:tcPr>
            <w:tcW w:w="2551" w:type="dxa"/>
          </w:tcPr>
          <w:p w:rsidR="007659C6" w:rsidRDefault="007659C6" w:rsidP="00C726C8">
            <w:pPr>
              <w:pStyle w:val="af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lastRenderedPageBreak/>
              <w:t xml:space="preserve">בנייה גבוהה - </w:t>
            </w:r>
            <w:r w:rsidRPr="00AC1697">
              <w:rPr>
                <w:rFonts w:hint="cs"/>
                <w:sz w:val="24"/>
                <w:rtl/>
                <w:lang w:eastAsia="en-US"/>
              </w:rPr>
              <w:t>סעיף 9.4</w:t>
            </w:r>
            <w:r>
              <w:rPr>
                <w:rFonts w:hint="cs"/>
                <w:sz w:val="24"/>
                <w:rtl/>
                <w:lang w:eastAsia="en-US"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בתמ"מ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5</w:t>
            </w:r>
            <w:r w:rsidRPr="00AC1697">
              <w:rPr>
                <w:rFonts w:hint="cs"/>
                <w:sz w:val="24"/>
                <w:rtl/>
                <w:lang w:eastAsia="en-US"/>
              </w:rPr>
              <w:t xml:space="preserve"> מאפשר לפטור מהכנת נספחי תשתיות גם בבינוי גבוה. במידה ונעשה כך, יש לכלול זאת בהחלטת ההפקדה של התכנית.</w:t>
            </w:r>
          </w:p>
          <w:p w:rsidR="007659C6" w:rsidRDefault="007659C6" w:rsidP="00F24618">
            <w:pPr>
              <w:pStyle w:val="af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יש להפעיל שיקול דעת מכיוון שיכולים להיות מקרים ספציפיים נוספים בהם יידרש נספח תשתיות (לדוג' קרבה לבאר). </w:t>
            </w:r>
          </w:p>
          <w:p w:rsidR="00F24618" w:rsidRPr="00F24618" w:rsidRDefault="00F24618" w:rsidP="00F2461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  <w:p w:rsidR="007659C6" w:rsidRPr="002C023E" w:rsidRDefault="007659C6" w:rsidP="00F2461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E65F01">
              <w:rPr>
                <w:rFonts w:hint="cs"/>
                <w:sz w:val="24"/>
                <w:rtl/>
                <w:lang w:eastAsia="en-US"/>
              </w:rPr>
              <w:t xml:space="preserve">* </w:t>
            </w:r>
            <w:r w:rsidR="00F24618">
              <w:rPr>
                <w:rFonts w:hint="cs"/>
                <w:sz w:val="24"/>
                <w:rtl/>
                <w:lang w:eastAsia="en-US"/>
              </w:rPr>
              <w:t>בהמשך</w:t>
            </w:r>
            <w:r w:rsidRPr="00E65F01">
              <w:rPr>
                <w:rFonts w:hint="cs"/>
                <w:sz w:val="24"/>
                <w:rtl/>
                <w:lang w:eastAsia="en-US"/>
              </w:rPr>
              <w:t xml:space="preserve"> </w:t>
            </w:r>
            <w:r w:rsidR="00F24618">
              <w:rPr>
                <w:rFonts w:hint="cs"/>
                <w:sz w:val="24"/>
                <w:rtl/>
                <w:lang w:eastAsia="en-US"/>
              </w:rPr>
              <w:t xml:space="preserve">יוגדרו </w:t>
            </w:r>
            <w:r w:rsidRPr="00E65F01">
              <w:rPr>
                <w:rFonts w:hint="cs"/>
                <w:sz w:val="24"/>
                <w:rtl/>
                <w:lang w:eastAsia="en-US"/>
              </w:rPr>
              <w:t xml:space="preserve">פרמטרים </w:t>
            </w:r>
            <w:r w:rsidRPr="00E65F01">
              <w:rPr>
                <w:rFonts w:hint="cs"/>
                <w:sz w:val="24"/>
                <w:rtl/>
                <w:lang w:eastAsia="en-US"/>
              </w:rPr>
              <w:lastRenderedPageBreak/>
              <w:t xml:space="preserve">בנוגע לאיכות </w:t>
            </w:r>
            <w:proofErr w:type="spellStart"/>
            <w:r w:rsidRPr="00E65F01">
              <w:rPr>
                <w:rFonts w:hint="cs"/>
                <w:sz w:val="24"/>
                <w:rtl/>
                <w:lang w:eastAsia="en-US"/>
              </w:rPr>
              <w:t>התשריטים</w:t>
            </w:r>
            <w:proofErr w:type="spellEnd"/>
            <w:r w:rsidRPr="002C023E">
              <w:rPr>
                <w:rFonts w:hint="cs"/>
                <w:sz w:val="24"/>
                <w:rtl/>
                <w:lang w:eastAsia="en-US"/>
              </w:rPr>
              <w:t xml:space="preserve"> </w:t>
            </w:r>
          </w:p>
        </w:tc>
        <w:tc>
          <w:tcPr>
            <w:tcW w:w="959" w:type="dxa"/>
          </w:tcPr>
          <w:p w:rsidR="00551CCE" w:rsidRDefault="00551CCE" w:rsidP="003828F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  <w:p w:rsidR="007659C6" w:rsidRDefault="003828F8" w:rsidP="003828F8">
            <w:pPr>
              <w:pStyle w:val="afe"/>
              <w:overflowPunct/>
              <w:autoSpaceDE/>
              <w:autoSpaceDN/>
              <w:adjustRightInd/>
              <w:spacing w:line="276" w:lineRule="auto"/>
              <w:ind w:left="360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-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lastRenderedPageBreak/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ג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בינוי (סעיף 1)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צירוף חתך עקרוני המציג את הבינוי המוצע ביחס למגרשים גובלים</w:t>
            </w:r>
          </w:p>
        </w:tc>
        <w:tc>
          <w:tcPr>
            <w:tcW w:w="2903" w:type="dxa"/>
          </w:tcPr>
          <w:p w:rsidR="007659C6" w:rsidRDefault="007659C6" w:rsidP="008058A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הצגת </w:t>
            </w:r>
            <w:r w:rsidR="008058AF">
              <w:rPr>
                <w:rFonts w:hint="cs"/>
                <w:sz w:val="24"/>
                <w:rtl/>
                <w:lang w:eastAsia="en-US"/>
              </w:rPr>
              <w:t>שני חתכים</w:t>
            </w:r>
            <w:r>
              <w:rPr>
                <w:rFonts w:hint="cs"/>
                <w:sz w:val="24"/>
                <w:rtl/>
                <w:lang w:eastAsia="en-US"/>
              </w:rPr>
              <w:t xml:space="preserve"> לפחות, המאפשר</w:t>
            </w:r>
            <w:r w:rsidR="008058AF">
              <w:rPr>
                <w:rFonts w:hint="cs"/>
                <w:sz w:val="24"/>
                <w:rtl/>
                <w:lang w:eastAsia="en-US"/>
              </w:rPr>
              <w:t>ים</w:t>
            </w:r>
            <w:r>
              <w:rPr>
                <w:rFonts w:hint="cs"/>
                <w:sz w:val="24"/>
                <w:rtl/>
                <w:lang w:eastAsia="en-US"/>
              </w:rPr>
              <w:t xml:space="preserve"> הבנה של הבינוי המוצע ביחס ל</w:t>
            </w:r>
            <w:r w:rsidRPr="00AD1EB2">
              <w:rPr>
                <w:rFonts w:hint="cs"/>
                <w:sz w:val="24"/>
                <w:rtl/>
                <w:lang w:eastAsia="en-US"/>
              </w:rPr>
              <w:t>סביבה הקיימת</w:t>
            </w:r>
            <w:r>
              <w:rPr>
                <w:rFonts w:hint="cs"/>
                <w:sz w:val="24"/>
                <w:rtl/>
                <w:lang w:eastAsia="en-US"/>
              </w:rPr>
              <w:t>, ל</w:t>
            </w:r>
            <w:r w:rsidRPr="007D0AF3">
              <w:rPr>
                <w:rFonts w:hint="cs"/>
                <w:sz w:val="24"/>
                <w:rtl/>
                <w:lang w:eastAsia="en-US"/>
              </w:rPr>
              <w:t>מגרשים גובלים</w:t>
            </w:r>
            <w:r>
              <w:rPr>
                <w:rFonts w:hint="cs"/>
                <w:sz w:val="24"/>
                <w:rtl/>
                <w:lang w:eastAsia="en-US"/>
              </w:rPr>
              <w:t xml:space="preserve"> ול</w:t>
            </w:r>
            <w:r w:rsidRPr="007D0AF3">
              <w:rPr>
                <w:rFonts w:hint="cs"/>
                <w:sz w:val="24"/>
                <w:rtl/>
                <w:lang w:eastAsia="en-US"/>
              </w:rPr>
              <w:t>רחובות גובלים</w:t>
            </w:r>
            <w:r w:rsidR="000905C6">
              <w:rPr>
                <w:rFonts w:hint="cs"/>
                <w:sz w:val="24"/>
                <w:rtl/>
                <w:lang w:eastAsia="en-US"/>
              </w:rPr>
              <w:t>.</w:t>
            </w:r>
          </w:p>
          <w:p w:rsidR="000905C6" w:rsidRPr="007D0AF3" w:rsidRDefault="000905C6" w:rsidP="008058A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בנספח הבינוי יש לוודא הצגה של מיקום הכניסות לחניונים. </w:t>
            </w:r>
          </w:p>
        </w:tc>
        <w:tc>
          <w:tcPr>
            <w:tcW w:w="2551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</w:p>
        </w:tc>
        <w:tc>
          <w:tcPr>
            <w:tcW w:w="959" w:type="dxa"/>
          </w:tcPr>
          <w:p w:rsidR="00551CCE" w:rsidRDefault="00551CCE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Default="003828F8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-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ד - היבטים סביבתיים (סעיפים 3 ו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4) סקר עצים בוגרים</w:t>
            </w:r>
          </w:p>
        </w:tc>
        <w:tc>
          <w:tcPr>
            <w:tcW w:w="2903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סקר עצים נדרש ע"פ נוהל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מבא"ת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עבור תכניות המסמנות מעל חמישה עצים בוגרים לכריתה/העתקה. הסקר צריך להיות ערוך ע"פ נוהל הכנת סקר עצים של משרד החקלאות ופיתוח הכפר ובהתאם לדגשים של לשכת תכנון מחוז ת"א.</w:t>
            </w:r>
          </w:p>
        </w:tc>
        <w:tc>
          <w:tcPr>
            <w:tcW w:w="2551" w:type="dxa"/>
          </w:tcPr>
          <w:p w:rsidR="007659C6" w:rsidRPr="004D3853" w:rsidRDefault="007659C6" w:rsidP="00707E1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במידה ונדרש סקר עצים עמידה בתנאי סף תהיה מותנית </w:t>
            </w:r>
            <w:r w:rsidRPr="000905C6">
              <w:rPr>
                <w:rFonts w:hint="cs"/>
                <w:b/>
                <w:bCs/>
                <w:sz w:val="24"/>
                <w:rtl/>
                <w:lang w:eastAsia="en-US"/>
              </w:rPr>
              <w:t>ב</w:t>
            </w:r>
            <w:r w:rsidR="000905C6" w:rsidRPr="000905C6">
              <w:rPr>
                <w:rFonts w:hint="cs"/>
                <w:b/>
                <w:bCs/>
                <w:sz w:val="24"/>
                <w:rtl/>
                <w:lang w:eastAsia="en-US"/>
              </w:rPr>
              <w:t>הוכחת פניה ל</w:t>
            </w:r>
            <w:r w:rsidRPr="000905C6">
              <w:rPr>
                <w:rFonts w:hint="cs"/>
                <w:b/>
                <w:bCs/>
                <w:sz w:val="24"/>
                <w:rtl/>
                <w:lang w:eastAsia="en-US"/>
              </w:rPr>
              <w:t>פקיד היערו</w:t>
            </w:r>
            <w:r w:rsidRPr="00E4441F">
              <w:rPr>
                <w:rFonts w:hint="cs"/>
                <w:b/>
                <w:bCs/>
                <w:sz w:val="24"/>
                <w:rtl/>
                <w:lang w:eastAsia="en-US"/>
              </w:rPr>
              <w:t>ת</w:t>
            </w:r>
            <w:r w:rsidR="00707E19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</w:t>
            </w:r>
            <w:r w:rsidR="00707E19">
              <w:rPr>
                <w:rFonts w:hint="cs"/>
                <w:sz w:val="24"/>
                <w:rtl/>
                <w:lang w:eastAsia="en-US"/>
              </w:rPr>
              <w:t xml:space="preserve">וכן </w:t>
            </w:r>
            <w:r w:rsidR="000905C6">
              <w:rPr>
                <w:rFonts w:hint="cs"/>
                <w:sz w:val="24"/>
                <w:rtl/>
                <w:lang w:eastAsia="en-US"/>
              </w:rPr>
              <w:t>במידת</w:t>
            </w:r>
            <w:r w:rsidR="000905C6" w:rsidRPr="000905C6">
              <w:rPr>
                <w:rFonts w:hint="cs"/>
                <w:sz w:val="24"/>
                <w:rtl/>
                <w:lang w:eastAsia="en-US"/>
              </w:rPr>
              <w:t xml:space="preserve"> הצורך </w:t>
            </w:r>
            <w:r w:rsidR="00707E19">
              <w:rPr>
                <w:rFonts w:hint="cs"/>
                <w:sz w:val="24"/>
                <w:rtl/>
                <w:lang w:eastAsia="en-US"/>
              </w:rPr>
              <w:t xml:space="preserve">בהתייחסות </w:t>
            </w:r>
            <w:r w:rsidRPr="000905C6">
              <w:rPr>
                <w:rFonts w:hint="cs"/>
                <w:sz w:val="24"/>
                <w:rtl/>
                <w:lang w:eastAsia="en-US"/>
              </w:rPr>
              <w:t>יועץ הסביבה של לשכת התכנון.</w:t>
            </w:r>
            <w:r>
              <w:rPr>
                <w:rFonts w:hint="cs"/>
                <w:sz w:val="24"/>
                <w:rtl/>
                <w:lang w:eastAsia="en-US"/>
              </w:rPr>
              <w:t xml:space="preserve">  </w:t>
            </w:r>
          </w:p>
        </w:tc>
        <w:tc>
          <w:tcPr>
            <w:tcW w:w="959" w:type="dxa"/>
          </w:tcPr>
          <w:p w:rsidR="00551CCE" w:rsidRDefault="00551CCE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Default="003828F8" w:rsidP="003828F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C012F8" w:rsidRPr="004D3853" w:rsidTr="00BF3EE9">
        <w:tc>
          <w:tcPr>
            <w:tcW w:w="1432" w:type="dxa"/>
          </w:tcPr>
          <w:p w:rsidR="00C012F8" w:rsidRDefault="00C012F8">
            <w:pPr>
              <w:overflowPunct/>
              <w:autoSpaceDE/>
              <w:adjustRightInd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פרק 3 – מסמכי תכנון נוספים</w:t>
            </w:r>
          </w:p>
        </w:tc>
        <w:tc>
          <w:tcPr>
            <w:tcW w:w="1445" w:type="dxa"/>
          </w:tcPr>
          <w:p w:rsidR="00C012F8" w:rsidRDefault="00C012F8">
            <w:pPr>
              <w:overflowPunct/>
              <w:autoSpaceDE/>
              <w:adjustRightInd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ה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שימור</w:t>
            </w:r>
          </w:p>
        </w:tc>
        <w:tc>
          <w:tcPr>
            <w:tcW w:w="2903" w:type="dxa"/>
          </w:tcPr>
          <w:p w:rsidR="00C012F8" w:rsidRDefault="00C012F8" w:rsidP="00C012F8">
            <w:pPr>
              <w:pStyle w:val="afe"/>
              <w:numPr>
                <w:ilvl w:val="0"/>
                <w:numId w:val="22"/>
              </w:numPr>
              <w:overflowPunct/>
              <w:autoSpaceDE/>
              <w:adjustRightInd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במידה ובתחום תכנית מפורטת כלולים מבנים או אזורים אשר נכללו במסגרת </w:t>
            </w:r>
            <w:r w:rsidRPr="008703F7">
              <w:rPr>
                <w:rFonts w:hint="cs"/>
                <w:b/>
                <w:bCs/>
                <w:sz w:val="24"/>
                <w:rtl/>
                <w:lang w:eastAsia="en-US"/>
              </w:rPr>
              <w:t>תכנית שימור או רשימת שימור</w:t>
            </w:r>
            <w:r>
              <w:rPr>
                <w:rFonts w:hint="cs"/>
                <w:sz w:val="24"/>
                <w:rtl/>
                <w:lang w:eastAsia="en-US"/>
              </w:rPr>
              <w:t>, יש לדרוש תיק תיעוד</w:t>
            </w:r>
            <w:r w:rsidR="008703F7">
              <w:rPr>
                <w:rFonts w:hint="cs"/>
                <w:sz w:val="24"/>
                <w:rtl/>
                <w:lang w:eastAsia="en-US"/>
              </w:rPr>
              <w:t xml:space="preserve"> מקדים</w:t>
            </w:r>
            <w:r>
              <w:rPr>
                <w:rFonts w:hint="cs"/>
                <w:sz w:val="24"/>
                <w:rtl/>
                <w:lang w:eastAsia="en-US"/>
              </w:rPr>
              <w:t xml:space="preserve"> והחלטת ועדת שימור</w:t>
            </w:r>
            <w:r w:rsidR="000905C6">
              <w:rPr>
                <w:rFonts w:hint="cs"/>
                <w:sz w:val="24"/>
                <w:rtl/>
                <w:lang w:eastAsia="en-US"/>
              </w:rPr>
              <w:t xml:space="preserve"> של הרשות המקומית</w:t>
            </w:r>
            <w:r>
              <w:rPr>
                <w:rFonts w:hint="cs"/>
                <w:sz w:val="24"/>
                <w:rtl/>
                <w:lang w:eastAsia="en-US"/>
              </w:rPr>
              <w:t xml:space="preserve">. </w:t>
            </w:r>
          </w:p>
          <w:p w:rsidR="00C012F8" w:rsidRPr="00C012F8" w:rsidRDefault="00C012F8" w:rsidP="00551CCE">
            <w:pPr>
              <w:pStyle w:val="afe"/>
              <w:numPr>
                <w:ilvl w:val="0"/>
                <w:numId w:val="22"/>
              </w:numPr>
              <w:overflowPunct/>
              <w:autoSpaceDE/>
              <w:adjustRightInd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בנוסף, </w:t>
            </w:r>
            <w:r w:rsidRPr="00C012F8">
              <w:rPr>
                <w:rFonts w:hint="cs"/>
                <w:sz w:val="24"/>
                <w:rtl/>
                <w:lang w:eastAsia="en-US"/>
              </w:rPr>
              <w:t xml:space="preserve">נוהל לשכת התכנון קובע כי בתכנית המסמנת מבנים להריסה </w:t>
            </w:r>
            <w:r w:rsidR="00551CCE">
              <w:rPr>
                <w:rFonts w:hint="cs"/>
                <w:sz w:val="24"/>
                <w:rtl/>
                <w:lang w:eastAsia="en-US"/>
              </w:rPr>
              <w:t>יש</w:t>
            </w:r>
            <w:r w:rsidRPr="00C012F8">
              <w:rPr>
                <w:rFonts w:hint="cs"/>
                <w:sz w:val="24"/>
                <w:rtl/>
                <w:lang w:eastAsia="en-US"/>
              </w:rPr>
              <w:t xml:space="preserve"> לבחון האם ישנם ערכים לשימור</w:t>
            </w:r>
            <w:r>
              <w:rPr>
                <w:rFonts w:hint="cs"/>
                <w:sz w:val="24"/>
                <w:rtl/>
                <w:lang w:eastAsia="en-US"/>
              </w:rPr>
              <w:t>.</w:t>
            </w:r>
          </w:p>
        </w:tc>
        <w:tc>
          <w:tcPr>
            <w:tcW w:w="2551" w:type="dxa"/>
          </w:tcPr>
          <w:p w:rsidR="00C012F8" w:rsidRDefault="00C012F8">
            <w:pPr>
              <w:overflowPunct/>
              <w:autoSpaceDE/>
              <w:adjustRightInd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959" w:type="dxa"/>
          </w:tcPr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C012F8" w:rsidRDefault="00C012F8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ו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תכניות פינוי בינוי</w:t>
            </w:r>
          </w:p>
        </w:tc>
        <w:tc>
          <w:tcPr>
            <w:tcW w:w="2903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צירוף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חוו"ד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כלכלית ערוכה ע"פ תקן 21</w:t>
            </w:r>
          </w:p>
        </w:tc>
        <w:tc>
          <w:tcPr>
            <w:tcW w:w="2551" w:type="dxa"/>
          </w:tcPr>
          <w:p w:rsidR="007659C6" w:rsidRDefault="007659C6" w:rsidP="00F73506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4D3853">
              <w:rPr>
                <w:rFonts w:hint="cs"/>
                <w:sz w:val="24"/>
                <w:rtl/>
                <w:lang w:eastAsia="en-US"/>
              </w:rPr>
              <w:t xml:space="preserve">עמידה בתנאי סף </w:t>
            </w:r>
            <w:r>
              <w:rPr>
                <w:rFonts w:hint="cs"/>
                <w:sz w:val="24"/>
                <w:rtl/>
                <w:lang w:eastAsia="en-US"/>
              </w:rPr>
              <w:t>מותנית ב</w:t>
            </w:r>
            <w:r w:rsidRPr="004D3853">
              <w:rPr>
                <w:rFonts w:hint="cs"/>
                <w:sz w:val="24"/>
                <w:rtl/>
                <w:lang w:eastAsia="en-US"/>
              </w:rPr>
              <w:t xml:space="preserve">קבלת </w:t>
            </w:r>
            <w:r w:rsidRPr="004D3853">
              <w:rPr>
                <w:rFonts w:hint="cs"/>
                <w:b/>
                <w:bCs/>
                <w:sz w:val="24"/>
                <w:rtl/>
                <w:lang w:eastAsia="en-US"/>
              </w:rPr>
              <w:t>אישור שמאי הועדה</w:t>
            </w:r>
            <w:r w:rsidRPr="004D3853">
              <w:rPr>
                <w:rFonts w:hint="cs"/>
                <w:sz w:val="24"/>
                <w:rtl/>
                <w:lang w:eastAsia="en-US"/>
              </w:rPr>
              <w:t xml:space="preserve"> באשר לתקינות המסמכים.</w:t>
            </w:r>
          </w:p>
          <w:p w:rsidR="007659C6" w:rsidRPr="00F73506" w:rsidRDefault="007659C6" w:rsidP="00F73506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lang w:eastAsia="en-US"/>
              </w:rPr>
            </w:pPr>
            <w:r w:rsidRPr="00F73506">
              <w:rPr>
                <w:rFonts w:hint="cs"/>
                <w:sz w:val="24"/>
                <w:rtl/>
                <w:lang w:eastAsia="en-US"/>
              </w:rPr>
              <w:t>יש לשים לב לנושאים החוזרים על עצמם בבדיקה</w:t>
            </w:r>
            <w:r w:rsidR="00BF3EE9">
              <w:rPr>
                <w:rFonts w:hint="cs"/>
                <w:sz w:val="24"/>
                <w:rtl/>
                <w:lang w:eastAsia="en-US"/>
              </w:rPr>
              <w:t xml:space="preserve"> ולהעיר עליהם עוד בטרם בדיקת השמאי</w:t>
            </w:r>
            <w:r w:rsidRPr="00F73506">
              <w:rPr>
                <w:rFonts w:hint="cs"/>
                <w:sz w:val="24"/>
                <w:rtl/>
                <w:lang w:eastAsia="en-US"/>
              </w:rPr>
              <w:t>:</w:t>
            </w:r>
          </w:p>
          <w:p w:rsidR="007659C6" w:rsidRDefault="007659C6" w:rsidP="00F73506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93" w:hanging="193"/>
              <w:jc w:val="left"/>
              <w:textAlignment w:val="auto"/>
              <w:rPr>
                <w:sz w:val="24"/>
                <w:lang w:eastAsia="en-US"/>
              </w:rPr>
            </w:pPr>
            <w:r w:rsidRPr="00F73506">
              <w:rPr>
                <w:rFonts w:hint="cs"/>
                <w:sz w:val="24"/>
                <w:rtl/>
                <w:lang w:eastAsia="en-US"/>
              </w:rPr>
              <w:t xml:space="preserve">התאמה בין הנתונים </w:t>
            </w:r>
            <w:proofErr w:type="spellStart"/>
            <w:r w:rsidRPr="00F73506">
              <w:rPr>
                <w:rFonts w:hint="cs"/>
                <w:sz w:val="24"/>
                <w:rtl/>
                <w:lang w:eastAsia="en-US"/>
              </w:rPr>
              <w:t>בחוו"ד</w:t>
            </w:r>
            <w:proofErr w:type="spellEnd"/>
            <w:r w:rsidRPr="00F73506">
              <w:rPr>
                <w:rFonts w:hint="cs"/>
                <w:sz w:val="24"/>
                <w:rtl/>
                <w:lang w:eastAsia="en-US"/>
              </w:rPr>
              <w:t xml:space="preserve"> הכלכלית </w:t>
            </w:r>
            <w:r w:rsidRPr="00F73506">
              <w:rPr>
                <w:rFonts w:hint="cs"/>
                <w:sz w:val="24"/>
                <w:rtl/>
                <w:lang w:eastAsia="en-US"/>
              </w:rPr>
              <w:lastRenderedPageBreak/>
              <w:t xml:space="preserve">להוראות התכנית העדכניות כפי שהוגשו לקליטה. </w:t>
            </w:r>
          </w:p>
          <w:p w:rsidR="007659C6" w:rsidRPr="00BF3EE9" w:rsidRDefault="007659C6" w:rsidP="00BF3EE9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93" w:hanging="193"/>
              <w:jc w:val="left"/>
              <w:textAlignment w:val="auto"/>
              <w:rPr>
                <w:sz w:val="24"/>
                <w:rtl/>
                <w:lang w:eastAsia="en-US"/>
              </w:rPr>
            </w:pPr>
            <w:r w:rsidRPr="00F73506">
              <w:rPr>
                <w:rFonts w:hint="cs"/>
                <w:sz w:val="24"/>
                <w:rtl/>
                <w:lang w:eastAsia="en-US"/>
              </w:rPr>
              <w:t>תוקף המועד הקובע לבדיקה (עד 3 חודשים לפני הגש</w:t>
            </w:r>
            <w:r>
              <w:rPr>
                <w:rFonts w:hint="cs"/>
                <w:sz w:val="24"/>
                <w:rtl/>
                <w:lang w:eastAsia="en-US"/>
              </w:rPr>
              <w:t>ה</w:t>
            </w:r>
            <w:r w:rsidRPr="00F73506">
              <w:rPr>
                <w:rFonts w:hint="cs"/>
                <w:sz w:val="24"/>
                <w:rtl/>
                <w:lang w:eastAsia="en-US"/>
              </w:rPr>
              <w:t>).</w:t>
            </w:r>
          </w:p>
        </w:tc>
        <w:tc>
          <w:tcPr>
            <w:tcW w:w="959" w:type="dxa"/>
          </w:tcPr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</w:p>
          <w:p w:rsidR="007659C6" w:rsidRPr="004D3853" w:rsidRDefault="00BF3EE9" w:rsidP="00BF3EE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lastRenderedPageBreak/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ח - תיאומים</w:t>
            </w:r>
          </w:p>
        </w:tc>
        <w:tc>
          <w:tcPr>
            <w:tcW w:w="2903" w:type="dxa"/>
          </w:tcPr>
          <w:p w:rsidR="007659C6" w:rsidRPr="004D3853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יש להגיש את רשימת התיאומים שבוצעה ע"י מגיש התכנית וכן תיאומים נוספים ע"פ הנחיית לשכת התכנון. </w:t>
            </w:r>
          </w:p>
        </w:tc>
        <w:tc>
          <w:tcPr>
            <w:tcW w:w="2551" w:type="dxa"/>
          </w:tcPr>
          <w:p w:rsidR="007659C6" w:rsidRPr="000C092B" w:rsidRDefault="007659C6" w:rsidP="00E615F5">
            <w:pPr>
              <w:spacing w:line="276" w:lineRule="auto"/>
              <w:jc w:val="left"/>
              <w:rPr>
                <w:sz w:val="24"/>
                <w:rtl/>
                <w:lang w:eastAsia="en-US"/>
              </w:rPr>
            </w:pPr>
            <w:r w:rsidRPr="000C092B">
              <w:rPr>
                <w:rFonts w:hint="cs"/>
                <w:sz w:val="24"/>
                <w:rtl/>
                <w:lang w:eastAsia="en-US"/>
              </w:rPr>
              <w:t xml:space="preserve">לא יסגרו תנאי הסף עד </w:t>
            </w:r>
            <w:r w:rsidRPr="00E65F01">
              <w:rPr>
                <w:rFonts w:hint="cs"/>
                <w:b/>
                <w:bCs/>
                <w:sz w:val="24"/>
                <w:rtl/>
                <w:lang w:eastAsia="en-US"/>
              </w:rPr>
              <w:t>להוכחת הפניה לאותם הגופים</w:t>
            </w:r>
            <w:r w:rsidRPr="000C092B">
              <w:rPr>
                <w:rFonts w:hint="cs"/>
                <w:sz w:val="24"/>
                <w:rtl/>
                <w:lang w:eastAsia="en-US"/>
              </w:rPr>
              <w:t xml:space="preserve">. </w:t>
            </w:r>
          </w:p>
          <w:p w:rsidR="007659C6" w:rsidRPr="004D3853" w:rsidRDefault="00516D8E" w:rsidP="00E435E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במקרים ספציפיים (לדוג' תכנית אשר היתכנותה מותנה בקבלת הקלה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מרת"א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לעניין גובה</w:t>
            </w:r>
            <w:r w:rsidR="002D03DA">
              <w:rPr>
                <w:rFonts w:hint="cs"/>
                <w:sz w:val="24"/>
                <w:rtl/>
                <w:lang w:eastAsia="en-US"/>
              </w:rPr>
              <w:t xml:space="preserve"> או תיאום מול רשות הניקוז במקומות הכוללים פשט הצפה</w:t>
            </w:r>
            <w:r w:rsidR="00E435EE">
              <w:rPr>
                <w:rFonts w:hint="cs"/>
                <w:sz w:val="24"/>
                <w:rtl/>
                <w:lang w:eastAsia="en-US"/>
              </w:rPr>
              <w:t>)</w:t>
            </w:r>
            <w:r>
              <w:rPr>
                <w:rFonts w:hint="cs"/>
                <w:sz w:val="24"/>
                <w:rtl/>
                <w:lang w:eastAsia="en-US"/>
              </w:rPr>
              <w:t xml:space="preserve">, </w:t>
            </w:r>
            <w:r w:rsidR="00E435EE">
              <w:rPr>
                <w:rFonts w:hint="cs"/>
                <w:sz w:val="24"/>
                <w:rtl/>
                <w:lang w:eastAsia="en-US"/>
              </w:rPr>
              <w:t xml:space="preserve">יינתן אישור בדבר עמידה בתנאי סף </w:t>
            </w:r>
            <w:r>
              <w:rPr>
                <w:rFonts w:hint="cs"/>
                <w:sz w:val="24"/>
                <w:rtl/>
                <w:lang w:eastAsia="en-US"/>
              </w:rPr>
              <w:t xml:space="preserve">רק לאחר קבלת </w:t>
            </w:r>
            <w:r w:rsidRPr="00E435EE">
              <w:rPr>
                <w:rFonts w:hint="cs"/>
                <w:b/>
                <w:bCs/>
                <w:sz w:val="24"/>
                <w:rtl/>
                <w:lang w:eastAsia="en-US"/>
              </w:rPr>
              <w:t>אישור</w:t>
            </w:r>
            <w:r>
              <w:rPr>
                <w:rFonts w:hint="cs"/>
                <w:sz w:val="24"/>
                <w:rtl/>
                <w:lang w:eastAsia="en-US"/>
              </w:rPr>
              <w:t xml:space="preserve"> אותו גורם.</w:t>
            </w:r>
            <w:r w:rsidR="00E435EE">
              <w:rPr>
                <w:rFonts w:hint="cs"/>
                <w:sz w:val="24"/>
                <w:rtl/>
                <w:lang w:eastAsia="en-US"/>
              </w:rPr>
              <w:t xml:space="preserve"> </w:t>
            </w:r>
          </w:p>
        </w:tc>
        <w:tc>
          <w:tcPr>
            <w:tcW w:w="959" w:type="dxa"/>
          </w:tcPr>
          <w:p w:rsidR="00551CCE" w:rsidRDefault="00551CCE" w:rsidP="00BF3EE9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551CCE" w:rsidRDefault="00551CCE" w:rsidP="00BF3EE9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7659C6" w:rsidRPr="000C092B" w:rsidRDefault="00BF3EE9" w:rsidP="00BF3EE9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  <w:tr w:rsidR="007659C6" w:rsidRPr="004D3853" w:rsidTr="00BF3EE9">
        <w:tc>
          <w:tcPr>
            <w:tcW w:w="1432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פרק 3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מסמכי תכנון נוספים</w:t>
            </w:r>
          </w:p>
        </w:tc>
        <w:tc>
          <w:tcPr>
            <w:tcW w:w="1445" w:type="dxa"/>
          </w:tcPr>
          <w:p w:rsidR="007659C6" w:rsidRDefault="007659C6" w:rsidP="00E615F5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ט </w:t>
            </w:r>
            <w:r>
              <w:rPr>
                <w:sz w:val="24"/>
                <w:rtl/>
                <w:lang w:eastAsia="en-US"/>
              </w:rPr>
              <w:t>–</w:t>
            </w:r>
            <w:r>
              <w:rPr>
                <w:rFonts w:hint="cs"/>
                <w:sz w:val="24"/>
                <w:rtl/>
                <w:lang w:eastAsia="en-US"/>
              </w:rPr>
              <w:t xml:space="preserve"> נספחים אחרים הנדרשים עפ"י הוראות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תמאות</w:t>
            </w:r>
            <w:proofErr w:type="spellEnd"/>
            <w:r>
              <w:rPr>
                <w:rFonts w:hint="cs"/>
                <w:sz w:val="24"/>
                <w:rtl/>
                <w:lang w:eastAsia="en-US"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  <w:lang w:eastAsia="en-US"/>
              </w:rPr>
              <w:t>ותממים</w:t>
            </w:r>
            <w:proofErr w:type="spellEnd"/>
          </w:p>
        </w:tc>
        <w:tc>
          <w:tcPr>
            <w:tcW w:w="2903" w:type="dxa"/>
          </w:tcPr>
          <w:p w:rsidR="00AC4C82" w:rsidRDefault="00AC4C82" w:rsidP="00AC4C82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הגשת מסמכים נדרשים כמו:</w:t>
            </w:r>
          </w:p>
          <w:p w:rsidR="00AC4C82" w:rsidRPr="00AC4C82" w:rsidRDefault="00AC4C82" w:rsidP="00AC4C82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86" w:hanging="86"/>
              <w:jc w:val="left"/>
              <w:textAlignment w:val="auto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 </w:t>
            </w:r>
            <w:r w:rsidR="007659C6" w:rsidRPr="00AC4C82">
              <w:rPr>
                <w:rFonts w:hint="cs"/>
                <w:sz w:val="24"/>
                <w:rtl/>
                <w:lang w:eastAsia="en-US"/>
              </w:rPr>
              <w:t xml:space="preserve">נספח </w:t>
            </w:r>
            <w:r w:rsidR="00516D8E" w:rsidRPr="00AC4C82">
              <w:rPr>
                <w:rFonts w:hint="cs"/>
                <w:sz w:val="24"/>
                <w:rtl/>
                <w:lang w:eastAsia="en-US"/>
              </w:rPr>
              <w:t xml:space="preserve">בינוי עירוני ו/או נספח </w:t>
            </w:r>
            <w:r w:rsidR="007659C6" w:rsidRPr="00AC4C82">
              <w:rPr>
                <w:rFonts w:hint="cs"/>
                <w:sz w:val="24"/>
                <w:rtl/>
                <w:lang w:eastAsia="en-US"/>
              </w:rPr>
              <w:t>פיתוח</w:t>
            </w:r>
            <w:r w:rsidR="00516D8E" w:rsidRPr="00AC4C82">
              <w:rPr>
                <w:rFonts w:hint="cs"/>
                <w:sz w:val="24"/>
                <w:rtl/>
                <w:lang w:eastAsia="en-US"/>
              </w:rPr>
              <w:t xml:space="preserve"> ועיצוב נופי</w:t>
            </w:r>
            <w:r w:rsidRPr="00AC4C82">
              <w:rPr>
                <w:rFonts w:hint="cs"/>
                <w:sz w:val="24"/>
                <w:rtl/>
                <w:lang w:eastAsia="en-US"/>
              </w:rPr>
              <w:t xml:space="preserve"> בהתאם להוראות </w:t>
            </w:r>
            <w:proofErr w:type="spellStart"/>
            <w:r w:rsidRPr="00AC4C82">
              <w:rPr>
                <w:rFonts w:hint="cs"/>
                <w:sz w:val="24"/>
                <w:rtl/>
                <w:lang w:eastAsia="en-US"/>
              </w:rPr>
              <w:t>תממ</w:t>
            </w:r>
            <w:proofErr w:type="spellEnd"/>
            <w:r w:rsidRPr="00AC4C82">
              <w:rPr>
                <w:rFonts w:hint="cs"/>
                <w:sz w:val="24"/>
                <w:rtl/>
                <w:lang w:eastAsia="en-US"/>
              </w:rPr>
              <w:t xml:space="preserve"> 5</w:t>
            </w:r>
            <w:r>
              <w:rPr>
                <w:rFonts w:hint="cs"/>
                <w:sz w:val="24"/>
                <w:rtl/>
                <w:lang w:eastAsia="en-US"/>
              </w:rPr>
              <w:t>.</w:t>
            </w:r>
          </w:p>
          <w:p w:rsidR="00AC4C82" w:rsidRDefault="00AC4C82" w:rsidP="00AC4C82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66" w:hanging="166"/>
              <w:jc w:val="left"/>
              <w:textAlignment w:val="auto"/>
              <w:rPr>
                <w:sz w:val="24"/>
                <w:lang w:eastAsia="en-US"/>
              </w:rPr>
            </w:pPr>
            <w:r w:rsidRPr="00AC4C82">
              <w:rPr>
                <w:rFonts w:hint="cs"/>
                <w:sz w:val="24"/>
                <w:rtl/>
                <w:lang w:eastAsia="en-US"/>
              </w:rPr>
              <w:t>מסמך סביבתי</w:t>
            </w:r>
            <w:r>
              <w:rPr>
                <w:rFonts w:hint="cs"/>
                <w:sz w:val="24"/>
                <w:rtl/>
                <w:lang w:eastAsia="en-US"/>
              </w:rPr>
              <w:t xml:space="preserve"> או תסקיר השפעה על הסביבה</w:t>
            </w:r>
          </w:p>
          <w:p w:rsidR="00855E55" w:rsidRDefault="007659C6" w:rsidP="00AC4C82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66" w:hanging="166"/>
              <w:jc w:val="left"/>
              <w:textAlignment w:val="auto"/>
              <w:rPr>
                <w:sz w:val="24"/>
                <w:lang w:eastAsia="en-US"/>
              </w:rPr>
            </w:pPr>
            <w:r w:rsidRPr="00AC4C82">
              <w:rPr>
                <w:rFonts w:hint="cs"/>
                <w:sz w:val="24"/>
                <w:rtl/>
                <w:lang w:eastAsia="en-US"/>
              </w:rPr>
              <w:t>בתחום הסביבה החופית הגשת תסקיר</w:t>
            </w:r>
            <w:r w:rsidR="00750985">
              <w:rPr>
                <w:rFonts w:hint="cs"/>
                <w:sz w:val="24"/>
                <w:rtl/>
                <w:lang w:eastAsia="en-US"/>
              </w:rPr>
              <w:t xml:space="preserve"> השפעה על הסביבה</w:t>
            </w:r>
            <w:r w:rsidR="00855E55">
              <w:rPr>
                <w:rFonts w:hint="cs"/>
                <w:sz w:val="24"/>
                <w:rtl/>
                <w:lang w:eastAsia="en-US"/>
              </w:rPr>
              <w:t xml:space="preserve"> או פטור של המשרד </w:t>
            </w:r>
            <w:proofErr w:type="spellStart"/>
            <w:r w:rsidR="00855E55">
              <w:rPr>
                <w:rFonts w:hint="cs"/>
                <w:sz w:val="24"/>
                <w:rtl/>
                <w:lang w:eastAsia="en-US"/>
              </w:rPr>
              <w:t>להג"ס</w:t>
            </w:r>
            <w:proofErr w:type="spellEnd"/>
            <w:r w:rsidR="00855E55">
              <w:rPr>
                <w:rFonts w:hint="cs"/>
                <w:sz w:val="24"/>
                <w:rtl/>
                <w:lang w:eastAsia="en-US"/>
              </w:rPr>
              <w:t xml:space="preserve"> מ</w:t>
            </w:r>
            <w:r w:rsidR="00750985">
              <w:rPr>
                <w:rFonts w:hint="cs"/>
                <w:sz w:val="24"/>
                <w:rtl/>
                <w:lang w:eastAsia="en-US"/>
              </w:rPr>
              <w:t xml:space="preserve">הכנת </w:t>
            </w:r>
            <w:r w:rsidR="00855E55">
              <w:rPr>
                <w:rFonts w:hint="cs"/>
                <w:sz w:val="24"/>
                <w:rtl/>
                <w:lang w:eastAsia="en-US"/>
              </w:rPr>
              <w:t>תסקיר</w:t>
            </w:r>
            <w:r w:rsidR="00750985">
              <w:rPr>
                <w:rFonts w:hint="cs"/>
                <w:sz w:val="24"/>
                <w:rtl/>
                <w:lang w:eastAsia="en-US"/>
              </w:rPr>
              <w:t>.</w:t>
            </w:r>
          </w:p>
          <w:p w:rsidR="007659C6" w:rsidRDefault="002D03DA" w:rsidP="002D03DA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66" w:hanging="166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במקרה של בנייה לגובה (מעל 20 קומות) יש לוודא קיומו של </w:t>
            </w:r>
            <w:r w:rsidR="00CC306E">
              <w:rPr>
                <w:rFonts w:hint="cs"/>
                <w:sz w:val="24"/>
                <w:rtl/>
                <w:lang w:eastAsia="en-US"/>
              </w:rPr>
              <w:t>מסמך מדיניות כלל עירוני לנושא בניה לגובה</w:t>
            </w:r>
            <w:r>
              <w:rPr>
                <w:rFonts w:hint="cs"/>
                <w:sz w:val="24"/>
                <w:rtl/>
                <w:lang w:eastAsia="en-US"/>
              </w:rPr>
              <w:t xml:space="preserve">. </w:t>
            </w:r>
          </w:p>
          <w:p w:rsidR="00551CCE" w:rsidRPr="00551CCE" w:rsidRDefault="001D2911" w:rsidP="00551CCE">
            <w:pPr>
              <w:pStyle w:val="afe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166" w:hanging="166"/>
              <w:jc w:val="left"/>
              <w:textAlignment w:val="auto"/>
              <w:rPr>
                <w:sz w:val="24"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 xml:space="preserve">טבע עירוני </w:t>
            </w:r>
            <w:r w:rsidR="00C012F8">
              <w:rPr>
                <w:rFonts w:hint="cs"/>
                <w:sz w:val="24"/>
                <w:rtl/>
                <w:lang w:eastAsia="en-US"/>
              </w:rPr>
              <w:t>במידה ו</w:t>
            </w:r>
            <w:r>
              <w:rPr>
                <w:rFonts w:hint="cs"/>
                <w:sz w:val="24"/>
                <w:rtl/>
                <w:lang w:eastAsia="en-US"/>
              </w:rPr>
              <w:t xml:space="preserve">תכנית מפורטת כוללת אתר </w:t>
            </w:r>
            <w:r w:rsidR="00C012F8">
              <w:rPr>
                <w:rFonts w:hint="cs"/>
                <w:sz w:val="24"/>
                <w:rtl/>
                <w:lang w:eastAsia="en-US"/>
              </w:rPr>
              <w:t>שסומן בסקר הטבע העירוני.</w:t>
            </w:r>
          </w:p>
          <w:p w:rsidR="00551CCE" w:rsidRPr="00551CCE" w:rsidRDefault="00551CCE" w:rsidP="00551CC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bCs/>
                <w:sz w:val="24"/>
                <w:rtl/>
                <w:lang w:eastAsia="en-US"/>
              </w:rPr>
            </w:pPr>
            <w:r w:rsidRPr="00551CCE">
              <w:rPr>
                <w:rFonts w:hint="cs"/>
                <w:sz w:val="24"/>
                <w:rtl/>
                <w:lang w:eastAsia="en-US"/>
              </w:rPr>
              <w:t>בנוסף יש לבחון</w:t>
            </w:r>
            <w:r w:rsidRPr="00551CCE">
              <w:rPr>
                <w:rFonts w:hint="cs"/>
                <w:b/>
                <w:bCs/>
                <w:sz w:val="24"/>
                <w:rtl/>
                <w:lang w:eastAsia="en-US"/>
              </w:rPr>
              <w:t xml:space="preserve"> התאמה לתכנית המתאר הכוללנית.</w:t>
            </w:r>
          </w:p>
        </w:tc>
        <w:tc>
          <w:tcPr>
            <w:tcW w:w="2551" w:type="dxa"/>
          </w:tcPr>
          <w:p w:rsidR="002D03DA" w:rsidRDefault="00516D8E" w:rsidP="002D03DA">
            <w:pPr>
              <w:pStyle w:val="afe"/>
              <w:numPr>
                <w:ilvl w:val="0"/>
                <w:numId w:val="12"/>
              </w:numPr>
              <w:spacing w:line="276" w:lineRule="auto"/>
              <w:ind w:left="186" w:hanging="186"/>
              <w:jc w:val="left"/>
              <w:rPr>
                <w:sz w:val="24"/>
                <w:lang w:eastAsia="en-US"/>
              </w:rPr>
            </w:pPr>
            <w:r w:rsidRPr="002D03DA">
              <w:rPr>
                <w:rFonts w:hint="cs"/>
                <w:sz w:val="24"/>
                <w:rtl/>
                <w:lang w:eastAsia="en-US"/>
              </w:rPr>
              <w:t>ככל שנדרש צירוף מסמכים כגון אלו, יש לדרוש הכנתם בשלב תנאי הסף.</w:t>
            </w:r>
          </w:p>
          <w:p w:rsidR="00516D8E" w:rsidRDefault="00516D8E" w:rsidP="002D03DA">
            <w:pPr>
              <w:pStyle w:val="afe"/>
              <w:numPr>
                <w:ilvl w:val="0"/>
                <w:numId w:val="12"/>
              </w:numPr>
              <w:spacing w:line="276" w:lineRule="auto"/>
              <w:ind w:left="186" w:hanging="186"/>
              <w:jc w:val="left"/>
              <w:rPr>
                <w:sz w:val="24"/>
                <w:lang w:eastAsia="en-US"/>
              </w:rPr>
            </w:pPr>
            <w:r w:rsidRPr="002D03DA">
              <w:rPr>
                <w:rFonts w:hint="cs"/>
                <w:sz w:val="24"/>
                <w:rtl/>
                <w:lang w:eastAsia="en-US"/>
              </w:rPr>
              <w:t>במקרים מיוחדים ניתן לקבוע כי הכנת המסמכים תה</w:t>
            </w:r>
            <w:r w:rsidR="002D03DA">
              <w:rPr>
                <w:rFonts w:hint="cs"/>
                <w:sz w:val="24"/>
                <w:rtl/>
                <w:lang w:eastAsia="en-US"/>
              </w:rPr>
              <w:t>וו</w:t>
            </w:r>
            <w:r w:rsidRPr="002D03DA">
              <w:rPr>
                <w:rFonts w:hint="cs"/>
                <w:sz w:val="24"/>
                <w:rtl/>
                <w:lang w:eastAsia="en-US"/>
              </w:rPr>
              <w:t xml:space="preserve">ה </w:t>
            </w:r>
            <w:r w:rsidR="002D03DA" w:rsidRPr="002D03DA">
              <w:rPr>
                <w:rFonts w:hint="cs"/>
                <w:sz w:val="24"/>
                <w:rtl/>
                <w:lang w:eastAsia="en-US"/>
              </w:rPr>
              <w:t>תנאי להפקדת התכנית.</w:t>
            </w:r>
          </w:p>
          <w:p w:rsidR="002D03DA" w:rsidRPr="002D03DA" w:rsidRDefault="002D03DA" w:rsidP="002D03DA">
            <w:pPr>
              <w:pStyle w:val="afe"/>
              <w:numPr>
                <w:ilvl w:val="0"/>
                <w:numId w:val="12"/>
              </w:numPr>
              <w:spacing w:line="276" w:lineRule="auto"/>
              <w:ind w:left="186" w:hanging="186"/>
              <w:jc w:val="left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במידה ופוטרים מהכנת נספח יש לנמק זאת במסגרת החלטת ההפקדה.</w:t>
            </w:r>
          </w:p>
        </w:tc>
        <w:tc>
          <w:tcPr>
            <w:tcW w:w="959" w:type="dxa"/>
          </w:tcPr>
          <w:p w:rsidR="00551CCE" w:rsidRDefault="00551CCE" w:rsidP="002D03DA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551CCE" w:rsidRDefault="00551CCE" w:rsidP="002D03DA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551CCE" w:rsidRDefault="00551CCE" w:rsidP="002D03DA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551CCE" w:rsidRDefault="00551CCE" w:rsidP="002D03DA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</w:p>
          <w:p w:rsidR="007659C6" w:rsidRPr="000C092B" w:rsidRDefault="001D2911" w:rsidP="00551CCE">
            <w:pPr>
              <w:spacing w:line="276" w:lineRule="auto"/>
              <w:jc w:val="center"/>
              <w:rPr>
                <w:sz w:val="24"/>
                <w:rtl/>
                <w:lang w:eastAsia="en-US"/>
              </w:rPr>
            </w:pPr>
            <w:r>
              <w:rPr>
                <w:rFonts w:hint="cs"/>
                <w:sz w:val="24"/>
                <w:rtl/>
                <w:lang w:eastAsia="en-US"/>
              </w:rPr>
              <w:t>+</w:t>
            </w:r>
          </w:p>
        </w:tc>
      </w:tr>
    </w:tbl>
    <w:p w:rsidR="00E615F5" w:rsidRDefault="00E615F5" w:rsidP="003D4E70">
      <w:pPr>
        <w:rPr>
          <w:rFonts w:ascii="Arial" w:hAnsi="Arial"/>
          <w:b/>
          <w:bCs/>
          <w:sz w:val="24"/>
          <w:rtl/>
        </w:rPr>
      </w:pPr>
    </w:p>
    <w:p w:rsidR="00D467B9" w:rsidRPr="00707E19" w:rsidRDefault="00707E19" w:rsidP="00D467B9">
      <w:pPr>
        <w:rPr>
          <w:rFonts w:ascii="Arial" w:hAnsi="Arial"/>
          <w:b/>
          <w:bCs/>
          <w:sz w:val="28"/>
          <w:szCs w:val="28"/>
          <w:rtl/>
        </w:rPr>
      </w:pPr>
      <w:r w:rsidRPr="00707E19">
        <w:rPr>
          <w:rFonts w:ascii="Arial" w:hAnsi="Arial" w:hint="cs"/>
          <w:b/>
          <w:bCs/>
          <w:sz w:val="28"/>
          <w:szCs w:val="28"/>
          <w:rtl/>
        </w:rPr>
        <w:t>דגשים נוספים:</w:t>
      </w:r>
    </w:p>
    <w:p w:rsidR="00707E19" w:rsidRDefault="00707E19" w:rsidP="00707E19">
      <w:pPr>
        <w:pStyle w:val="afe"/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 w:hint="cs"/>
          <w:sz w:val="24"/>
          <w:rtl/>
        </w:rPr>
        <w:t>באחריות מוביל התכנית לוודא התאמה בין הוראות התכנית לנספחיה וכן בין הנספחים עצמם (</w:t>
      </w:r>
      <w:r w:rsidR="008B39E1">
        <w:rPr>
          <w:rFonts w:ascii="Arial" w:hAnsi="Arial" w:hint="cs"/>
          <w:sz w:val="24"/>
          <w:rtl/>
        </w:rPr>
        <w:t xml:space="preserve">למשל בנושא של ניהול נגר והשארת </w:t>
      </w:r>
      <w:proofErr w:type="spellStart"/>
      <w:r w:rsidR="008B39E1">
        <w:rPr>
          <w:rFonts w:ascii="Arial" w:hAnsi="Arial" w:hint="cs"/>
          <w:sz w:val="24"/>
          <w:rtl/>
        </w:rPr>
        <w:t>תכסית</w:t>
      </w:r>
      <w:proofErr w:type="spellEnd"/>
      <w:r w:rsidR="008B39E1">
        <w:rPr>
          <w:rFonts w:ascii="Arial" w:hAnsi="Arial" w:hint="cs"/>
          <w:sz w:val="24"/>
          <w:rtl/>
        </w:rPr>
        <w:t xml:space="preserve"> פנויה ביחס לבינוי ולתכנון </w:t>
      </w:r>
      <w:r>
        <w:rPr>
          <w:rFonts w:ascii="Arial" w:hAnsi="Arial" w:hint="cs"/>
          <w:sz w:val="24"/>
          <w:rtl/>
        </w:rPr>
        <w:t>מרתפי החניה).</w:t>
      </w:r>
    </w:p>
    <w:p w:rsidR="00D52CEA" w:rsidRPr="00750985" w:rsidRDefault="0087275C" w:rsidP="00750985">
      <w:pPr>
        <w:pStyle w:val="afe"/>
        <w:numPr>
          <w:ilvl w:val="0"/>
          <w:numId w:val="23"/>
        </w:numPr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 xml:space="preserve">יש לשים </w:t>
      </w:r>
      <w:r w:rsidR="00D54447">
        <w:rPr>
          <w:rFonts w:ascii="Arial" w:hAnsi="Arial" w:hint="cs"/>
          <w:sz w:val="24"/>
          <w:rtl/>
        </w:rPr>
        <w:t xml:space="preserve">לב כי </w:t>
      </w:r>
      <w:r w:rsidR="007E1D8D">
        <w:rPr>
          <w:rFonts w:ascii="Arial" w:hAnsi="Arial" w:hint="cs"/>
          <w:sz w:val="24"/>
          <w:rtl/>
        </w:rPr>
        <w:t>חוות דעת</w:t>
      </w:r>
      <w:r w:rsidR="00D54447">
        <w:rPr>
          <w:rFonts w:ascii="Arial" w:hAnsi="Arial" w:hint="cs"/>
          <w:sz w:val="24"/>
          <w:rtl/>
        </w:rPr>
        <w:t xml:space="preserve"> של גורמים חיצוניים (דוגמת פקיד היערות והועדה המקצועית למים ולביוב)</w:t>
      </w:r>
      <w:r>
        <w:rPr>
          <w:rFonts w:ascii="Arial" w:hAnsi="Arial" w:hint="cs"/>
          <w:sz w:val="24"/>
          <w:rtl/>
        </w:rPr>
        <w:t xml:space="preserve"> </w:t>
      </w:r>
      <w:r w:rsidR="00D54447">
        <w:rPr>
          <w:rFonts w:ascii="Arial" w:hAnsi="Arial" w:hint="cs"/>
          <w:sz w:val="24"/>
          <w:rtl/>
        </w:rPr>
        <w:t>אינן מחייבות ו</w:t>
      </w:r>
      <w:r w:rsidR="000D1EB4">
        <w:rPr>
          <w:rFonts w:ascii="Arial" w:hAnsi="Arial" w:hint="cs"/>
          <w:sz w:val="24"/>
          <w:rtl/>
        </w:rPr>
        <w:t>על כן יש לשקול אם להטמיע או</w:t>
      </w:r>
      <w:r w:rsidR="007E1D8D">
        <w:rPr>
          <w:rFonts w:ascii="Arial" w:hAnsi="Arial" w:hint="cs"/>
          <w:sz w:val="24"/>
          <w:rtl/>
        </w:rPr>
        <w:t xml:space="preserve"> לסטות מהן</w:t>
      </w:r>
      <w:r w:rsidR="008A5F54">
        <w:rPr>
          <w:rFonts w:ascii="Arial" w:hAnsi="Arial" w:hint="cs"/>
          <w:sz w:val="24"/>
          <w:rtl/>
        </w:rPr>
        <w:t xml:space="preserve">. במידת הצורך ניתן להביא נושאים אלה לתיקון החלטה. </w:t>
      </w:r>
    </w:p>
    <w:sectPr w:rsidR="00D52CEA" w:rsidRPr="00750985" w:rsidSect="00EF2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 w:code="9"/>
      <w:pgMar w:top="1440" w:right="1701" w:bottom="992" w:left="1134" w:header="397" w:footer="283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6C" w:rsidRDefault="00F03C6C">
      <w:r>
        <w:separator/>
      </w:r>
    </w:p>
  </w:endnote>
  <w:endnote w:type="continuationSeparator" w:id="0">
    <w:p w:rsidR="00F03C6C" w:rsidRDefault="00F0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4" w:rsidRDefault="008A5F54">
    <w:pPr>
      <w:pStyle w:val="aa"/>
      <w:framePr w:wrap="around" w:vAnchor="text" w:hAnchor="margin" w:xAlign="center" w:y="1"/>
      <w:rPr>
        <w:rStyle w:val="af0"/>
        <w:rtl/>
      </w:rPr>
    </w:pPr>
    <w:r>
      <w:rPr>
        <w:rStyle w:val="af0"/>
        <w:rtl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rtl/>
      </w:rPr>
      <w:fldChar w:fldCharType="end"/>
    </w:r>
  </w:p>
  <w:p w:rsidR="008A5F54" w:rsidRDefault="008A5F54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4" w:rsidRPr="00734758" w:rsidRDefault="008A5F54" w:rsidP="00A90972">
    <w:pPr>
      <w:spacing w:before="120" w:line="240" w:lineRule="auto"/>
      <w:rPr>
        <w:sz w:val="16"/>
        <w:szCs w:val="16"/>
      </w:rPr>
    </w:pPr>
    <w:r>
      <w:rPr>
        <w:rFonts w:ascii="Tahoma" w:hAnsi="Tahoma" w:cs="Tahoma"/>
        <w:b/>
        <w:bCs/>
        <w:noProof/>
        <w:color w:val="365F91" w:themeColor="accent1" w:themeShade="BF"/>
        <w:sz w:val="20"/>
        <w:szCs w:val="20"/>
        <w:lang w:eastAsia="en-US"/>
      </w:rPr>
      <w:drawing>
        <wp:anchor distT="0" distB="0" distL="114300" distR="114300" simplePos="0" relativeHeight="251657216" behindDoc="0" locked="0" layoutInCell="1" allowOverlap="1" wp14:anchorId="76EC7DA5" wp14:editId="699D0BB0">
          <wp:simplePos x="0" y="0"/>
          <wp:positionH relativeFrom="column">
            <wp:posOffset>-194310</wp:posOffset>
          </wp:positionH>
          <wp:positionV relativeFrom="paragraph">
            <wp:posOffset>32385</wp:posOffset>
          </wp:positionV>
          <wp:extent cx="436245" cy="509905"/>
          <wp:effectExtent l="0" t="0" r="1905" b="444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0916" w:type="dxa"/>
      <w:tblInd w:w="-883" w:type="dxa"/>
      <w:tblLook w:val="04A0" w:firstRow="1" w:lastRow="0" w:firstColumn="1" w:lastColumn="0" w:noHBand="0" w:noVBand="1"/>
    </w:tblPr>
    <w:tblGrid>
      <w:gridCol w:w="3751"/>
      <w:gridCol w:w="5747"/>
      <w:gridCol w:w="1418"/>
    </w:tblGrid>
    <w:tr w:rsidR="008A5F54" w:rsidRPr="00456B11" w:rsidTr="0001209D">
      <w:trPr>
        <w:trHeight w:val="565"/>
      </w:trPr>
      <w:tc>
        <w:tcPr>
          <w:tcW w:w="3751" w:type="dxa"/>
          <w:shd w:val="clear" w:color="auto" w:fill="auto"/>
        </w:tcPr>
        <w:p w:rsidR="008A5F54" w:rsidRPr="00AF57DC" w:rsidRDefault="008A5F54" w:rsidP="0001209D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רחוב דרך מנחם בגין 125, מיקוד 67012</w:t>
          </w: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 xml:space="preserve">             </w:t>
          </w:r>
        </w:p>
        <w:p w:rsidR="008A5F54" w:rsidRPr="00AF57DC" w:rsidRDefault="008A5F54" w:rsidP="0001209D">
          <w:pPr>
            <w:pStyle w:val="aa"/>
            <w:tabs>
              <w:tab w:val="clear" w:pos="4320"/>
              <w:tab w:val="clear" w:pos="8640"/>
            </w:tabs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>אתר המשרד</w:t>
          </w:r>
          <w:r w:rsidRPr="00AF57DC">
            <w:rPr>
              <w:rFonts w:cs="David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>: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4"/>
              <w:rtl/>
            </w:rPr>
            <w:t xml:space="preserve"> </w:t>
          </w:r>
          <w:hyperlink r:id="rId2" w:history="1">
            <w:r w:rsidRPr="00AF57DC">
              <w:rPr>
                <w:rStyle w:val="Hyperlink"/>
                <w:rFonts w:ascii="Tahoma" w:hAnsi="Tahoma" w:cs="Tahoma"/>
                <w:b w:val="0"/>
                <w:bCs w:val="0"/>
                <w:color w:val="365F91" w:themeColor="accent1" w:themeShade="BF"/>
                <w:szCs w:val="22"/>
              </w:rPr>
              <w:t>www.moin.gov.il</w:t>
            </w:r>
          </w:hyperlink>
        </w:p>
      </w:tc>
      <w:tc>
        <w:tcPr>
          <w:tcW w:w="5747" w:type="dxa"/>
        </w:tcPr>
        <w:p w:rsidR="008A5F54" w:rsidRPr="00AF57DC" w:rsidRDefault="008A5F54" w:rsidP="0001209D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 xml:space="preserve">    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טלפון: 03-7632579</w:t>
          </w:r>
        </w:p>
        <w:p w:rsidR="008A5F54" w:rsidRPr="00AF57DC" w:rsidRDefault="008A5F54" w:rsidP="0001209D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 xml:space="preserve">    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פקס: 03-7632581</w:t>
          </w:r>
          <w:r w:rsidRPr="00AF57DC">
            <w:rPr>
              <w:rFonts w:ascii="Tahoma" w:hAnsi="Tahoma" w:cs="Tahoma"/>
              <w:color w:val="365F91" w:themeColor="accent1" w:themeShade="BF"/>
              <w:sz w:val="20"/>
              <w:szCs w:val="20"/>
              <w:rtl/>
            </w:rPr>
            <w:t xml:space="preserve"> </w:t>
          </w:r>
          <w:r w:rsidRPr="00AF57DC">
            <w:rPr>
              <w:rFonts w:ascii="Tahoma" w:hAnsi="Tahoma" w:cs="Tahoma" w:hint="cs"/>
              <w:color w:val="365F91" w:themeColor="accent1" w:themeShade="BF"/>
              <w:sz w:val="20"/>
              <w:szCs w:val="20"/>
              <w:rtl/>
            </w:rPr>
            <w:t xml:space="preserve">         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דוא"ל:</w:t>
          </w:r>
          <w:r w:rsidRPr="00AF57DC">
            <w:rPr>
              <w:rStyle w:val="Hyperlink"/>
              <w:rFonts w:ascii="Tahoma" w:hAnsi="Tahoma" w:cs="Tahoma" w:hint="cs"/>
              <w:b w:val="0"/>
              <w:bCs w:val="0"/>
              <w:color w:val="365F91" w:themeColor="accent1" w:themeShade="BF"/>
              <w:sz w:val="24"/>
              <w:u w:val="none"/>
              <w:rtl/>
            </w:rPr>
            <w:t xml:space="preserve"> </w:t>
          </w:r>
          <w:hyperlink r:id="rId3" w:history="1">
            <w:r w:rsidRPr="00AF57DC">
              <w:rPr>
                <w:rStyle w:val="Hyperlink"/>
                <w:rFonts w:ascii="Tahoma" w:hAnsi="Tahoma" w:cs="Tahoma"/>
                <w:b w:val="0"/>
                <w:bCs w:val="0"/>
                <w:color w:val="365F91" w:themeColor="accent1" w:themeShade="BF"/>
                <w:sz w:val="24"/>
              </w:rPr>
              <w:t>tlv-</w:t>
            </w:r>
            <w:r w:rsidRPr="00AF57DC">
              <w:rPr>
                <w:rStyle w:val="Hyperlink"/>
                <w:rFonts w:ascii="Tahoma" w:hAnsi="Tahoma" w:cs="Tahoma"/>
                <w:b w:val="0"/>
                <w:bCs w:val="0"/>
                <w:color w:val="365F91" w:themeColor="accent1" w:themeShade="BF"/>
                <w:szCs w:val="22"/>
              </w:rPr>
              <w:t>tichnun@moin.gov.il</w:t>
            </w:r>
          </w:hyperlink>
        </w:p>
      </w:tc>
      <w:tc>
        <w:tcPr>
          <w:tcW w:w="1418" w:type="dxa"/>
        </w:tcPr>
        <w:p w:rsidR="008A5F54" w:rsidRPr="00456B11" w:rsidRDefault="008A5F54" w:rsidP="0001209D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</w:p>
      </w:tc>
    </w:tr>
  </w:tbl>
  <w:p w:rsidR="008A5F54" w:rsidRPr="00EF2EDB" w:rsidRDefault="008A5F54" w:rsidP="00A90972">
    <w:pPr>
      <w:pStyle w:val="aa"/>
    </w:pPr>
  </w:p>
  <w:p w:rsidR="008A5F54" w:rsidRPr="00A90972" w:rsidRDefault="008A5F54" w:rsidP="00A90972">
    <w:pPr>
      <w:pStyle w:val="aa"/>
      <w:rPr>
        <w:szCs w:val="2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4" w:rsidRPr="00734758" w:rsidRDefault="008A5F54" w:rsidP="00734758">
    <w:pPr>
      <w:spacing w:before="120" w:line="240" w:lineRule="auto"/>
      <w:rPr>
        <w:sz w:val="16"/>
        <w:szCs w:val="16"/>
      </w:rPr>
    </w:pPr>
    <w:r>
      <w:rPr>
        <w:rFonts w:ascii="Tahoma" w:hAnsi="Tahoma" w:cs="Tahoma"/>
        <w:b/>
        <w:bCs/>
        <w:noProof/>
        <w:color w:val="365F91" w:themeColor="accent1" w:themeShade="BF"/>
        <w:sz w:val="20"/>
        <w:szCs w:val="20"/>
        <w:lang w:eastAsia="en-US"/>
      </w:rPr>
      <w:drawing>
        <wp:anchor distT="0" distB="0" distL="114300" distR="114300" simplePos="0" relativeHeight="251656192" behindDoc="0" locked="0" layoutInCell="1" allowOverlap="1" wp14:anchorId="54E4C3DB" wp14:editId="673A9068">
          <wp:simplePos x="0" y="0"/>
          <wp:positionH relativeFrom="column">
            <wp:posOffset>-194310</wp:posOffset>
          </wp:positionH>
          <wp:positionV relativeFrom="paragraph">
            <wp:posOffset>32385</wp:posOffset>
          </wp:positionV>
          <wp:extent cx="436245" cy="509905"/>
          <wp:effectExtent l="0" t="0" r="1905" b="444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0916" w:type="dxa"/>
      <w:tblInd w:w="-883" w:type="dxa"/>
      <w:tblLook w:val="04A0" w:firstRow="1" w:lastRow="0" w:firstColumn="1" w:lastColumn="0" w:noHBand="0" w:noVBand="1"/>
    </w:tblPr>
    <w:tblGrid>
      <w:gridCol w:w="3751"/>
      <w:gridCol w:w="5747"/>
      <w:gridCol w:w="1418"/>
    </w:tblGrid>
    <w:tr w:rsidR="008A5F54" w:rsidRPr="00456B11" w:rsidTr="00734758">
      <w:trPr>
        <w:trHeight w:val="565"/>
      </w:trPr>
      <w:tc>
        <w:tcPr>
          <w:tcW w:w="3751" w:type="dxa"/>
          <w:shd w:val="clear" w:color="auto" w:fill="auto"/>
        </w:tcPr>
        <w:p w:rsidR="008A5F54" w:rsidRPr="00AF57DC" w:rsidRDefault="008A5F54" w:rsidP="00C47816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רחוב דרך מנחם בגין 125, מיקוד 67012</w:t>
          </w: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 xml:space="preserve">             </w:t>
          </w:r>
        </w:p>
        <w:p w:rsidR="008A5F54" w:rsidRPr="00AF57DC" w:rsidRDefault="008A5F54" w:rsidP="00F20555">
          <w:pPr>
            <w:pStyle w:val="aa"/>
            <w:tabs>
              <w:tab w:val="clear" w:pos="4320"/>
              <w:tab w:val="clear" w:pos="8640"/>
            </w:tabs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>אתר המשרד</w:t>
          </w:r>
          <w:r w:rsidRPr="00AF57DC">
            <w:rPr>
              <w:rFonts w:cs="David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>: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4"/>
              <w:rtl/>
            </w:rPr>
            <w:t xml:space="preserve"> </w:t>
          </w:r>
          <w:hyperlink r:id="rId2" w:history="1">
            <w:r w:rsidRPr="00AF57DC">
              <w:rPr>
                <w:rStyle w:val="Hyperlink"/>
                <w:rFonts w:ascii="Tahoma" w:hAnsi="Tahoma" w:cs="Tahoma"/>
                <w:b w:val="0"/>
                <w:bCs w:val="0"/>
                <w:color w:val="365F91" w:themeColor="accent1" w:themeShade="BF"/>
                <w:szCs w:val="22"/>
              </w:rPr>
              <w:t>www.</w:t>
            </w:r>
            <w:r>
              <w:rPr>
                <w:rStyle w:val="Hyperlink"/>
                <w:rFonts w:ascii="Tahoma" w:hAnsi="Tahoma" w:cs="Tahoma"/>
                <w:b w:val="0"/>
                <w:bCs w:val="0"/>
                <w:color w:val="365F91" w:themeColor="accent1" w:themeShade="BF"/>
                <w:szCs w:val="22"/>
              </w:rPr>
              <w:t>iplan</w:t>
            </w:r>
            <w:r w:rsidRPr="00AF57DC">
              <w:rPr>
                <w:rStyle w:val="Hyperlink"/>
                <w:rFonts w:ascii="Tahoma" w:hAnsi="Tahoma" w:cs="Tahoma"/>
                <w:b w:val="0"/>
                <w:bCs w:val="0"/>
                <w:color w:val="365F91" w:themeColor="accent1" w:themeShade="BF"/>
                <w:szCs w:val="22"/>
              </w:rPr>
              <w:t>.gov.il</w:t>
            </w:r>
          </w:hyperlink>
        </w:p>
      </w:tc>
      <w:tc>
        <w:tcPr>
          <w:tcW w:w="5747" w:type="dxa"/>
        </w:tcPr>
        <w:p w:rsidR="008A5F54" w:rsidRPr="00AF57DC" w:rsidRDefault="008A5F54" w:rsidP="007074AA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 xml:space="preserve">    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טלפון: 03-7632579</w:t>
          </w:r>
        </w:p>
        <w:p w:rsidR="008A5F54" w:rsidRPr="00AF57DC" w:rsidRDefault="008A5F54" w:rsidP="00F20555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  <w:r w:rsidRPr="00AF57DC">
            <w:rPr>
              <w:rFonts w:ascii="Tahoma" w:hAnsi="Tahoma" w:cs="Tahoma" w:hint="cs"/>
              <w:b w:val="0"/>
              <w:bCs w:val="0"/>
              <w:color w:val="365F91" w:themeColor="accent1" w:themeShade="BF"/>
              <w:sz w:val="20"/>
              <w:szCs w:val="20"/>
              <w:rtl/>
            </w:rPr>
            <w:t xml:space="preserve">    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פקס: 03-7632581</w:t>
          </w:r>
          <w:r w:rsidRPr="00AF57DC">
            <w:rPr>
              <w:rFonts w:ascii="Tahoma" w:hAnsi="Tahoma" w:cs="Tahoma"/>
              <w:color w:val="365F91" w:themeColor="accent1" w:themeShade="BF"/>
              <w:sz w:val="20"/>
              <w:szCs w:val="20"/>
              <w:rtl/>
            </w:rPr>
            <w:t xml:space="preserve"> </w:t>
          </w:r>
          <w:r w:rsidRPr="00AF57DC">
            <w:rPr>
              <w:rFonts w:ascii="Tahoma" w:hAnsi="Tahoma" w:cs="Tahoma" w:hint="cs"/>
              <w:color w:val="365F91" w:themeColor="accent1" w:themeShade="BF"/>
              <w:sz w:val="20"/>
              <w:szCs w:val="20"/>
              <w:rtl/>
            </w:rPr>
            <w:t xml:space="preserve">         </w:t>
          </w:r>
          <w:r w:rsidRPr="00AF57DC"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  <w:t>דוא"ל:</w:t>
          </w:r>
          <w:r w:rsidRPr="00AF57DC">
            <w:rPr>
              <w:rStyle w:val="Hyperlink"/>
              <w:rFonts w:ascii="Tahoma" w:hAnsi="Tahoma" w:cs="Tahoma" w:hint="cs"/>
              <w:b w:val="0"/>
              <w:bCs w:val="0"/>
              <w:color w:val="365F91" w:themeColor="accent1" w:themeShade="BF"/>
              <w:sz w:val="24"/>
              <w:u w:val="none"/>
              <w:rtl/>
            </w:rPr>
            <w:t xml:space="preserve"> </w:t>
          </w:r>
          <w:hyperlink r:id="rId3" w:history="1">
            <w:r w:rsidRPr="000E2950">
              <w:rPr>
                <w:rStyle w:val="Hyperlink"/>
                <w:rFonts w:ascii="Tahoma" w:hAnsi="Tahoma" w:cs="Tahoma"/>
                <w:b w:val="0"/>
                <w:bCs w:val="0"/>
                <w:sz w:val="24"/>
              </w:rPr>
              <w:t>tlv-</w:t>
            </w:r>
            <w:r w:rsidRPr="000E2950">
              <w:rPr>
                <w:rStyle w:val="Hyperlink"/>
                <w:rFonts w:ascii="Tahoma" w:hAnsi="Tahoma" w:cs="Tahoma"/>
                <w:b w:val="0"/>
                <w:bCs w:val="0"/>
                <w:szCs w:val="22"/>
              </w:rPr>
              <w:t>tichnun@iplan.gov.il</w:t>
            </w:r>
          </w:hyperlink>
        </w:p>
      </w:tc>
      <w:tc>
        <w:tcPr>
          <w:tcW w:w="1418" w:type="dxa"/>
        </w:tcPr>
        <w:p w:rsidR="008A5F54" w:rsidRPr="00456B11" w:rsidRDefault="008A5F54" w:rsidP="00907750">
          <w:pPr>
            <w:pStyle w:val="aa"/>
            <w:tabs>
              <w:tab w:val="clear" w:pos="4320"/>
              <w:tab w:val="clear" w:pos="8640"/>
            </w:tabs>
            <w:spacing w:line="240" w:lineRule="auto"/>
            <w:rPr>
              <w:rFonts w:ascii="Tahoma" w:hAnsi="Tahoma" w:cs="Tahoma"/>
              <w:b w:val="0"/>
              <w:bCs w:val="0"/>
              <w:color w:val="365F91" w:themeColor="accent1" w:themeShade="BF"/>
              <w:sz w:val="20"/>
              <w:szCs w:val="20"/>
              <w:rtl/>
            </w:rPr>
          </w:pPr>
        </w:p>
      </w:tc>
    </w:tr>
  </w:tbl>
  <w:p w:rsidR="008A5F54" w:rsidRPr="00EF2EDB" w:rsidRDefault="008A5F54" w:rsidP="007347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6C" w:rsidRDefault="00F03C6C">
      <w:r>
        <w:separator/>
      </w:r>
    </w:p>
  </w:footnote>
  <w:footnote w:type="continuationSeparator" w:id="0">
    <w:p w:rsidR="00F03C6C" w:rsidRDefault="00F0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4" w:rsidRDefault="008A5F54">
    <w:pPr>
      <w:pStyle w:val="a9"/>
      <w:framePr w:wrap="around" w:vAnchor="text" w:hAnchor="margin" w:xAlign="center" w:y="1"/>
      <w:rPr>
        <w:rStyle w:val="af0"/>
        <w:rtl/>
      </w:rPr>
    </w:pPr>
    <w:r>
      <w:rPr>
        <w:rStyle w:val="af0"/>
        <w:rtl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rtl/>
      </w:rPr>
      <w:fldChar w:fldCharType="separate"/>
    </w:r>
    <w:r>
      <w:rPr>
        <w:rStyle w:val="af0"/>
        <w:rtl/>
      </w:rPr>
      <w:t>1</w:t>
    </w:r>
    <w:r>
      <w:rPr>
        <w:rStyle w:val="af0"/>
        <w:rtl/>
      </w:rPr>
      <w:fldChar w:fldCharType="end"/>
    </w:r>
  </w:p>
  <w:p w:rsidR="008A5F54" w:rsidRDefault="008A5F54">
    <w:pPr>
      <w:pStyle w:val="a9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4" w:rsidRPr="00034FA6" w:rsidRDefault="008A5F54">
    <w:pPr>
      <w:pStyle w:val="a9"/>
      <w:jc w:val="center"/>
      <w:rPr>
        <w:b w:val="0"/>
        <w:bCs w:val="0"/>
        <w:rtl/>
      </w:rPr>
    </w:pPr>
    <w:r w:rsidRPr="00034FA6">
      <w:rPr>
        <w:rFonts w:hint="cs"/>
        <w:b w:val="0"/>
        <w:bCs w:val="0"/>
        <w:rtl/>
      </w:rPr>
      <w:t xml:space="preserve">-  </w:t>
    </w:r>
    <w:r w:rsidRPr="00034FA6">
      <w:rPr>
        <w:rStyle w:val="af0"/>
        <w:b w:val="0"/>
        <w:bCs w:val="0"/>
      </w:rPr>
      <w:fldChar w:fldCharType="begin"/>
    </w:r>
    <w:r w:rsidRPr="00034FA6">
      <w:rPr>
        <w:rStyle w:val="af0"/>
        <w:b w:val="0"/>
        <w:bCs w:val="0"/>
      </w:rPr>
      <w:instrText xml:space="preserve"> PAGE </w:instrText>
    </w:r>
    <w:r w:rsidRPr="00034FA6">
      <w:rPr>
        <w:rStyle w:val="af0"/>
        <w:b w:val="0"/>
        <w:bCs w:val="0"/>
      </w:rPr>
      <w:fldChar w:fldCharType="separate"/>
    </w:r>
    <w:r w:rsidR="00381327">
      <w:rPr>
        <w:rStyle w:val="af0"/>
        <w:b w:val="0"/>
        <w:bCs w:val="0"/>
        <w:noProof/>
        <w:rtl/>
      </w:rPr>
      <w:t>2</w:t>
    </w:r>
    <w:r w:rsidRPr="00034FA6">
      <w:rPr>
        <w:rStyle w:val="af0"/>
        <w:b w:val="0"/>
        <w:bCs w:val="0"/>
      </w:rPr>
      <w:fldChar w:fldCharType="end"/>
    </w:r>
    <w:r w:rsidRPr="00034FA6">
      <w:rPr>
        <w:rStyle w:val="af0"/>
        <w:rFonts w:hint="cs"/>
        <w:b w:val="0"/>
        <w:bCs w:val="0"/>
        <w:rtl/>
      </w:rPr>
      <w:t xml:space="preserve">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54" w:rsidRDefault="00F03C6C" w:rsidP="00EF2EDB">
    <w:pPr>
      <w:pStyle w:val="a9"/>
      <w:spacing w:line="240" w:lineRule="auto"/>
      <w:jc w:val="center"/>
      <w:rPr>
        <w:rtl/>
      </w:rPr>
    </w:pPr>
    <w:sdt>
      <w:sdtPr>
        <w:rPr>
          <w:rtl/>
        </w:rPr>
        <w:id w:val="-528028052"/>
        <w:docPartObj>
          <w:docPartGallery w:val="Watermarks"/>
          <w:docPartUnique/>
        </w:docPartObj>
      </w:sdtPr>
      <w:sdtEndPr/>
      <w:sdtContent>
        <w:r>
          <w:rPr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טיוטה"/>
              <w10:wrap anchorx="margin" anchory="margin"/>
            </v:shape>
          </w:pict>
        </w:r>
      </w:sdtContent>
    </w:sdt>
    <w:r w:rsidR="008A5F54"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48D65C98" wp14:editId="62AAFE25">
          <wp:simplePos x="0" y="0"/>
          <wp:positionH relativeFrom="column">
            <wp:posOffset>-1005840</wp:posOffset>
          </wp:positionH>
          <wp:positionV relativeFrom="paragraph">
            <wp:posOffset>-261620</wp:posOffset>
          </wp:positionV>
          <wp:extent cx="7776845" cy="980440"/>
          <wp:effectExtent l="0" t="0" r="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שכת התכנון-מחוז תל אביב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4000"/>
                            </a14:imgEffect>
                            <a14:imgEffect>
                              <a14:saturation sat="145000"/>
                            </a14:imgEffect>
                            <a14:imgEffect>
                              <a14:brightnessContrast bright="-14000" contrast="5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24" r="1287" b="16629"/>
                  <a:stretch/>
                </pic:blipFill>
                <pic:spPr bwMode="auto">
                  <a:xfrm>
                    <a:off x="0" y="0"/>
                    <a:ext cx="7776845" cy="980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F54" w:rsidRDefault="008A5F54" w:rsidP="00753038">
    <w:pPr>
      <w:tabs>
        <w:tab w:val="center" w:pos="4320"/>
        <w:tab w:val="right" w:pos="8640"/>
      </w:tabs>
      <w:spacing w:line="240" w:lineRule="auto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9E8745E"/>
    <w:lvl w:ilvl="0">
      <w:start w:val="1"/>
      <w:numFmt w:val="decimal"/>
      <w:pStyle w:val="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>
    <w:nsid w:val="0090373A"/>
    <w:multiLevelType w:val="hybridMultilevel"/>
    <w:tmpl w:val="5EB4A42C"/>
    <w:lvl w:ilvl="0" w:tplc="F8D815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1F2B"/>
    <w:multiLevelType w:val="hybridMultilevel"/>
    <w:tmpl w:val="EFE25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16FE5"/>
    <w:multiLevelType w:val="hybridMultilevel"/>
    <w:tmpl w:val="5F0E3186"/>
    <w:lvl w:ilvl="0" w:tplc="6C7AE90E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03AF"/>
    <w:multiLevelType w:val="hybridMultilevel"/>
    <w:tmpl w:val="16C25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D3223"/>
    <w:multiLevelType w:val="hybridMultilevel"/>
    <w:tmpl w:val="E5322E26"/>
    <w:lvl w:ilvl="0" w:tplc="94D2E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7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>
    <w:nsid w:val="33F20888"/>
    <w:multiLevelType w:val="hybridMultilevel"/>
    <w:tmpl w:val="28582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F430C"/>
    <w:multiLevelType w:val="hybridMultilevel"/>
    <w:tmpl w:val="E83CD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226B4"/>
    <w:multiLevelType w:val="hybridMultilevel"/>
    <w:tmpl w:val="4F226212"/>
    <w:lvl w:ilvl="0" w:tplc="BBCABC6C">
      <w:start w:val="1"/>
      <w:numFmt w:val="bullet"/>
      <w:pStyle w:val="a1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DE0E6F"/>
    <w:multiLevelType w:val="hybridMultilevel"/>
    <w:tmpl w:val="CA50F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054796"/>
    <w:multiLevelType w:val="hybridMultilevel"/>
    <w:tmpl w:val="7B12FF8C"/>
    <w:lvl w:ilvl="0" w:tplc="115C7C6A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>
    <w:nsid w:val="550B550C"/>
    <w:multiLevelType w:val="hybridMultilevel"/>
    <w:tmpl w:val="99FA9F4E"/>
    <w:lvl w:ilvl="0" w:tplc="15EC6A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7347D"/>
    <w:multiLevelType w:val="multilevel"/>
    <w:tmpl w:val="7A045848"/>
    <w:lvl w:ilvl="0">
      <w:start w:val="1"/>
      <w:numFmt w:val="decimal"/>
      <w:lvlRestart w:val="0"/>
      <w:pStyle w:val="a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5">
    <w:nsid w:val="59E91092"/>
    <w:multiLevelType w:val="hybridMultilevel"/>
    <w:tmpl w:val="CB60B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2B33E0"/>
    <w:multiLevelType w:val="hybridMultilevel"/>
    <w:tmpl w:val="2490F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E516A0"/>
    <w:multiLevelType w:val="hybridMultilevel"/>
    <w:tmpl w:val="43DA50D2"/>
    <w:lvl w:ilvl="0" w:tplc="D8D634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D4D59"/>
    <w:multiLevelType w:val="hybridMultilevel"/>
    <w:tmpl w:val="27E87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E95053"/>
    <w:multiLevelType w:val="hybridMultilevel"/>
    <w:tmpl w:val="C1F6ABC0"/>
    <w:lvl w:ilvl="0" w:tplc="4FD4D1C8">
      <w:start w:val="1"/>
      <w:numFmt w:val="hebrew1"/>
      <w:pStyle w:val="a3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86EC5"/>
    <w:multiLevelType w:val="multilevel"/>
    <w:tmpl w:val="239A394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F732A3C"/>
    <w:multiLevelType w:val="hybridMultilevel"/>
    <w:tmpl w:val="DFBA7020"/>
    <w:lvl w:ilvl="0" w:tplc="F816E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A6778"/>
    <w:multiLevelType w:val="hybridMultilevel"/>
    <w:tmpl w:val="86280CCA"/>
    <w:lvl w:ilvl="0" w:tplc="8918C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0"/>
  </w:num>
  <w:num w:numId="5">
    <w:abstractNumId w:val="20"/>
  </w:num>
  <w:num w:numId="6">
    <w:abstractNumId w:val="7"/>
  </w:num>
  <w:num w:numId="7">
    <w:abstractNumId w:val="14"/>
  </w:num>
  <w:num w:numId="8">
    <w:abstractNumId w:val="21"/>
  </w:num>
  <w:num w:numId="9">
    <w:abstractNumId w:val="1"/>
  </w:num>
  <w:num w:numId="10">
    <w:abstractNumId w:val="4"/>
  </w:num>
  <w:num w:numId="11">
    <w:abstractNumId w:val="22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  <w:num w:numId="16">
    <w:abstractNumId w:val="16"/>
  </w:num>
  <w:num w:numId="17">
    <w:abstractNumId w:val="18"/>
  </w:num>
  <w:num w:numId="18">
    <w:abstractNumId w:val="11"/>
  </w:num>
  <w:num w:numId="19">
    <w:abstractNumId w:val="15"/>
  </w:num>
  <w:num w:numId="20">
    <w:abstractNumId w:val="17"/>
  </w:num>
  <w:num w:numId="21">
    <w:abstractNumId w:val="13"/>
  </w:num>
  <w:num w:numId="22">
    <w:abstractNumId w:val="8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E"/>
    <w:rsid w:val="00011670"/>
    <w:rsid w:val="0001209D"/>
    <w:rsid w:val="00013E99"/>
    <w:rsid w:val="000338B9"/>
    <w:rsid w:val="00034FA6"/>
    <w:rsid w:val="00062931"/>
    <w:rsid w:val="0007350E"/>
    <w:rsid w:val="000769E8"/>
    <w:rsid w:val="00077CBD"/>
    <w:rsid w:val="00077F9A"/>
    <w:rsid w:val="000905C6"/>
    <w:rsid w:val="00093F37"/>
    <w:rsid w:val="000C092B"/>
    <w:rsid w:val="000D156B"/>
    <w:rsid w:val="000D1EB4"/>
    <w:rsid w:val="000D6AB7"/>
    <w:rsid w:val="000E5EE9"/>
    <w:rsid w:val="000F2B49"/>
    <w:rsid w:val="000F5C8D"/>
    <w:rsid w:val="001129CE"/>
    <w:rsid w:val="00113803"/>
    <w:rsid w:val="001179B0"/>
    <w:rsid w:val="00122EF2"/>
    <w:rsid w:val="00123325"/>
    <w:rsid w:val="00123B29"/>
    <w:rsid w:val="00127279"/>
    <w:rsid w:val="00142FE5"/>
    <w:rsid w:val="00147713"/>
    <w:rsid w:val="00166140"/>
    <w:rsid w:val="00177FEF"/>
    <w:rsid w:val="00185D13"/>
    <w:rsid w:val="001877DB"/>
    <w:rsid w:val="001C4F8F"/>
    <w:rsid w:val="001D2911"/>
    <w:rsid w:val="001E2C8C"/>
    <w:rsid w:val="00201328"/>
    <w:rsid w:val="00201B7D"/>
    <w:rsid w:val="00204463"/>
    <w:rsid w:val="00217A40"/>
    <w:rsid w:val="00225FAE"/>
    <w:rsid w:val="002265C4"/>
    <w:rsid w:val="002346F5"/>
    <w:rsid w:val="002602C8"/>
    <w:rsid w:val="0026066A"/>
    <w:rsid w:val="00266E26"/>
    <w:rsid w:val="002869FB"/>
    <w:rsid w:val="00293C14"/>
    <w:rsid w:val="002A121D"/>
    <w:rsid w:val="002B4BAE"/>
    <w:rsid w:val="002C023E"/>
    <w:rsid w:val="002C2A2A"/>
    <w:rsid w:val="002D03DA"/>
    <w:rsid w:val="002D2C15"/>
    <w:rsid w:val="002E30DF"/>
    <w:rsid w:val="002E3BCA"/>
    <w:rsid w:val="002E5351"/>
    <w:rsid w:val="002F037C"/>
    <w:rsid w:val="003105D2"/>
    <w:rsid w:val="00320512"/>
    <w:rsid w:val="0032243C"/>
    <w:rsid w:val="00327F68"/>
    <w:rsid w:val="00355774"/>
    <w:rsid w:val="00364EB2"/>
    <w:rsid w:val="00381327"/>
    <w:rsid w:val="003828F8"/>
    <w:rsid w:val="00396175"/>
    <w:rsid w:val="003A092B"/>
    <w:rsid w:val="003C0184"/>
    <w:rsid w:val="003C2040"/>
    <w:rsid w:val="003D138D"/>
    <w:rsid w:val="003D4E70"/>
    <w:rsid w:val="00415112"/>
    <w:rsid w:val="0041598B"/>
    <w:rsid w:val="00416086"/>
    <w:rsid w:val="0042343A"/>
    <w:rsid w:val="004379F3"/>
    <w:rsid w:val="00451B1E"/>
    <w:rsid w:val="00455F4C"/>
    <w:rsid w:val="00456B11"/>
    <w:rsid w:val="00456C76"/>
    <w:rsid w:val="00470361"/>
    <w:rsid w:val="00486665"/>
    <w:rsid w:val="004932A6"/>
    <w:rsid w:val="004B14D6"/>
    <w:rsid w:val="004B2511"/>
    <w:rsid w:val="004D16E0"/>
    <w:rsid w:val="004D3853"/>
    <w:rsid w:val="004D5770"/>
    <w:rsid w:val="004E2035"/>
    <w:rsid w:val="00516D8E"/>
    <w:rsid w:val="00525F9F"/>
    <w:rsid w:val="00530795"/>
    <w:rsid w:val="00551C75"/>
    <w:rsid w:val="00551CCE"/>
    <w:rsid w:val="00556EC1"/>
    <w:rsid w:val="00570B79"/>
    <w:rsid w:val="005863FC"/>
    <w:rsid w:val="00592F6E"/>
    <w:rsid w:val="005C1DCE"/>
    <w:rsid w:val="005C4490"/>
    <w:rsid w:val="005D1C0F"/>
    <w:rsid w:val="005F1343"/>
    <w:rsid w:val="005F1A47"/>
    <w:rsid w:val="005F3225"/>
    <w:rsid w:val="00643B77"/>
    <w:rsid w:val="00683E71"/>
    <w:rsid w:val="006C0C32"/>
    <w:rsid w:val="006F2D36"/>
    <w:rsid w:val="007074AA"/>
    <w:rsid w:val="00707E19"/>
    <w:rsid w:val="007119CB"/>
    <w:rsid w:val="007123BC"/>
    <w:rsid w:val="007172A7"/>
    <w:rsid w:val="007176C9"/>
    <w:rsid w:val="0072683D"/>
    <w:rsid w:val="00734758"/>
    <w:rsid w:val="00750985"/>
    <w:rsid w:val="00753038"/>
    <w:rsid w:val="00763527"/>
    <w:rsid w:val="007659C6"/>
    <w:rsid w:val="007A5269"/>
    <w:rsid w:val="007C03CC"/>
    <w:rsid w:val="007C6876"/>
    <w:rsid w:val="007D0AF3"/>
    <w:rsid w:val="007E1D8D"/>
    <w:rsid w:val="008058AF"/>
    <w:rsid w:val="00815509"/>
    <w:rsid w:val="0082530D"/>
    <w:rsid w:val="00837CDE"/>
    <w:rsid w:val="00846365"/>
    <w:rsid w:val="00855E55"/>
    <w:rsid w:val="00862B0A"/>
    <w:rsid w:val="008703F7"/>
    <w:rsid w:val="0087275C"/>
    <w:rsid w:val="00872865"/>
    <w:rsid w:val="00873BD4"/>
    <w:rsid w:val="00875F1C"/>
    <w:rsid w:val="008A1172"/>
    <w:rsid w:val="008A5F54"/>
    <w:rsid w:val="008B33D5"/>
    <w:rsid w:val="008B39E1"/>
    <w:rsid w:val="008B4DCA"/>
    <w:rsid w:val="008C7CD1"/>
    <w:rsid w:val="008E04A6"/>
    <w:rsid w:val="008E34BD"/>
    <w:rsid w:val="008E589C"/>
    <w:rsid w:val="009006FC"/>
    <w:rsid w:val="00904B66"/>
    <w:rsid w:val="00907750"/>
    <w:rsid w:val="0091238F"/>
    <w:rsid w:val="00915B1F"/>
    <w:rsid w:val="00932DF4"/>
    <w:rsid w:val="00943B8F"/>
    <w:rsid w:val="00966A8D"/>
    <w:rsid w:val="009A6E75"/>
    <w:rsid w:val="009A7BF5"/>
    <w:rsid w:val="009B0C2A"/>
    <w:rsid w:val="009B162E"/>
    <w:rsid w:val="009D561C"/>
    <w:rsid w:val="009D56C6"/>
    <w:rsid w:val="009E6427"/>
    <w:rsid w:val="00A16D11"/>
    <w:rsid w:val="00A243F0"/>
    <w:rsid w:val="00A64BA8"/>
    <w:rsid w:val="00A841C7"/>
    <w:rsid w:val="00A90972"/>
    <w:rsid w:val="00AC1697"/>
    <w:rsid w:val="00AC16E6"/>
    <w:rsid w:val="00AC4778"/>
    <w:rsid w:val="00AC4C82"/>
    <w:rsid w:val="00AD1EB2"/>
    <w:rsid w:val="00AF57DC"/>
    <w:rsid w:val="00B244D7"/>
    <w:rsid w:val="00B44459"/>
    <w:rsid w:val="00B55F7E"/>
    <w:rsid w:val="00B7537F"/>
    <w:rsid w:val="00B80AFC"/>
    <w:rsid w:val="00B85074"/>
    <w:rsid w:val="00B9006A"/>
    <w:rsid w:val="00BA2AA2"/>
    <w:rsid w:val="00BB2A22"/>
    <w:rsid w:val="00BB38F8"/>
    <w:rsid w:val="00BF3EE9"/>
    <w:rsid w:val="00C012F8"/>
    <w:rsid w:val="00C02B4C"/>
    <w:rsid w:val="00C23B25"/>
    <w:rsid w:val="00C36E56"/>
    <w:rsid w:val="00C43DDB"/>
    <w:rsid w:val="00C44061"/>
    <w:rsid w:val="00C46D1E"/>
    <w:rsid w:val="00C47816"/>
    <w:rsid w:val="00C47FB9"/>
    <w:rsid w:val="00C55D46"/>
    <w:rsid w:val="00C71118"/>
    <w:rsid w:val="00C726C8"/>
    <w:rsid w:val="00C8734E"/>
    <w:rsid w:val="00CA0E98"/>
    <w:rsid w:val="00CB44A5"/>
    <w:rsid w:val="00CB52C7"/>
    <w:rsid w:val="00CC0F3D"/>
    <w:rsid w:val="00CC306E"/>
    <w:rsid w:val="00CF023F"/>
    <w:rsid w:val="00CF30F8"/>
    <w:rsid w:val="00CF5149"/>
    <w:rsid w:val="00CF5C54"/>
    <w:rsid w:val="00CF5C6B"/>
    <w:rsid w:val="00D06CDE"/>
    <w:rsid w:val="00D107F0"/>
    <w:rsid w:val="00D22875"/>
    <w:rsid w:val="00D27927"/>
    <w:rsid w:val="00D467B9"/>
    <w:rsid w:val="00D52CEA"/>
    <w:rsid w:val="00D54447"/>
    <w:rsid w:val="00D61C6A"/>
    <w:rsid w:val="00D91728"/>
    <w:rsid w:val="00DB10B9"/>
    <w:rsid w:val="00DD1848"/>
    <w:rsid w:val="00DD27D2"/>
    <w:rsid w:val="00DD7EF6"/>
    <w:rsid w:val="00E3107B"/>
    <w:rsid w:val="00E312A9"/>
    <w:rsid w:val="00E435EE"/>
    <w:rsid w:val="00E43E52"/>
    <w:rsid w:val="00E44061"/>
    <w:rsid w:val="00E4441F"/>
    <w:rsid w:val="00E4552B"/>
    <w:rsid w:val="00E46321"/>
    <w:rsid w:val="00E55BAF"/>
    <w:rsid w:val="00E56C33"/>
    <w:rsid w:val="00E576EE"/>
    <w:rsid w:val="00E57D43"/>
    <w:rsid w:val="00E615F5"/>
    <w:rsid w:val="00E65F01"/>
    <w:rsid w:val="00E7383A"/>
    <w:rsid w:val="00E7495F"/>
    <w:rsid w:val="00E84CFA"/>
    <w:rsid w:val="00EB4C04"/>
    <w:rsid w:val="00EE12DF"/>
    <w:rsid w:val="00EE6F2C"/>
    <w:rsid w:val="00EF2EDB"/>
    <w:rsid w:val="00F0383E"/>
    <w:rsid w:val="00F03C6C"/>
    <w:rsid w:val="00F11A9C"/>
    <w:rsid w:val="00F20555"/>
    <w:rsid w:val="00F24618"/>
    <w:rsid w:val="00F45126"/>
    <w:rsid w:val="00F46780"/>
    <w:rsid w:val="00F610EF"/>
    <w:rsid w:val="00F70E7E"/>
    <w:rsid w:val="00F73506"/>
    <w:rsid w:val="00F75F5E"/>
    <w:rsid w:val="00F87AAD"/>
    <w:rsid w:val="00FA12B1"/>
    <w:rsid w:val="00FC40D4"/>
    <w:rsid w:val="00FD26B5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b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c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d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e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0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1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semiHidden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2"/>
    <w:uiPriority w:val="1"/>
    <w:qFormat/>
    <w:rsid w:val="00F75F5E"/>
    <w:pPr>
      <w:numPr>
        <w:numId w:val="3"/>
      </w:numPr>
      <w:ind w:left="360"/>
    </w:pPr>
  </w:style>
  <w:style w:type="character" w:styleId="af3">
    <w:name w:val="line number"/>
    <w:semiHidden/>
    <w:rsid w:val="004932A6"/>
  </w:style>
  <w:style w:type="character" w:customStyle="1" w:styleId="af2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4"/>
    <w:uiPriority w:val="1"/>
    <w:rsid w:val="002E5351"/>
    <w:pPr>
      <w:numPr>
        <w:numId w:val="5"/>
      </w:numPr>
    </w:pPr>
  </w:style>
  <w:style w:type="paragraph" w:customStyle="1" w:styleId="af5">
    <w:name w:val="מ. מדורג"/>
    <w:basedOn w:val="a4"/>
    <w:link w:val="af6"/>
    <w:uiPriority w:val="1"/>
    <w:rsid w:val="001E2C8C"/>
    <w:pPr>
      <w:ind w:left="360"/>
    </w:pPr>
  </w:style>
  <w:style w:type="character" w:customStyle="1" w:styleId="af4">
    <w:name w:val="ממסופר מדורג תו"/>
    <w:basedOn w:val="af2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7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6">
    <w:name w:val="מ. מדורג תו"/>
    <w:basedOn w:val="af4"/>
    <w:link w:val="af5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8"/>
    <w:uiPriority w:val="1"/>
    <w:qFormat/>
    <w:rsid w:val="00A243F0"/>
    <w:pPr>
      <w:numPr>
        <w:numId w:val="7"/>
      </w:numPr>
    </w:pPr>
  </w:style>
  <w:style w:type="character" w:customStyle="1" w:styleId="af7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9">
    <w:name w:val="תבליט"/>
    <w:basedOn w:val="a1"/>
    <w:link w:val="afa"/>
    <w:qFormat/>
    <w:rsid w:val="0072683D"/>
    <w:pPr>
      <w:ind w:left="360"/>
    </w:pPr>
  </w:style>
  <w:style w:type="character" w:customStyle="1" w:styleId="af8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b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a">
    <w:name w:val="תבליט תו"/>
    <w:basedOn w:val="ad"/>
    <w:link w:val="af9"/>
    <w:rsid w:val="0072683D"/>
    <w:rPr>
      <w:rFonts w:cs="David"/>
      <w:sz w:val="22"/>
      <w:szCs w:val="24"/>
      <w:lang w:eastAsia="he-IL"/>
    </w:rPr>
  </w:style>
  <w:style w:type="paragraph" w:styleId="afc">
    <w:name w:val="Balloon Text"/>
    <w:basedOn w:val="a5"/>
    <w:link w:val="afd"/>
    <w:semiHidden/>
    <w:rsid w:val="00A64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טקסט בלונים תו"/>
    <w:basedOn w:val="a6"/>
    <w:link w:val="afc"/>
    <w:semiHidden/>
    <w:rsid w:val="00A64BA8"/>
    <w:rPr>
      <w:rFonts w:ascii="Tahoma" w:hAnsi="Tahoma" w:cs="Tahoma"/>
      <w:sz w:val="16"/>
      <w:szCs w:val="16"/>
      <w:lang w:eastAsia="he-IL"/>
    </w:rPr>
  </w:style>
  <w:style w:type="table" w:customStyle="1" w:styleId="12">
    <w:name w:val="טבלת רשת1"/>
    <w:basedOn w:val="a7"/>
    <w:next w:val="afb"/>
    <w:uiPriority w:val="59"/>
    <w:rsid w:val="004D385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5"/>
    <w:uiPriority w:val="34"/>
    <w:semiHidden/>
    <w:qFormat/>
    <w:rsid w:val="005C4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b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c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d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e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0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1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semiHidden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2"/>
    <w:uiPriority w:val="1"/>
    <w:qFormat/>
    <w:rsid w:val="00F75F5E"/>
    <w:pPr>
      <w:numPr>
        <w:numId w:val="3"/>
      </w:numPr>
      <w:ind w:left="360"/>
    </w:pPr>
  </w:style>
  <w:style w:type="character" w:styleId="af3">
    <w:name w:val="line number"/>
    <w:semiHidden/>
    <w:rsid w:val="004932A6"/>
  </w:style>
  <w:style w:type="character" w:customStyle="1" w:styleId="af2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4"/>
    <w:uiPriority w:val="1"/>
    <w:rsid w:val="002E5351"/>
    <w:pPr>
      <w:numPr>
        <w:numId w:val="5"/>
      </w:numPr>
    </w:pPr>
  </w:style>
  <w:style w:type="paragraph" w:customStyle="1" w:styleId="af5">
    <w:name w:val="מ. מדורג"/>
    <w:basedOn w:val="a4"/>
    <w:link w:val="af6"/>
    <w:uiPriority w:val="1"/>
    <w:rsid w:val="001E2C8C"/>
    <w:pPr>
      <w:ind w:left="360"/>
    </w:pPr>
  </w:style>
  <w:style w:type="character" w:customStyle="1" w:styleId="af4">
    <w:name w:val="ממסופר מדורג תו"/>
    <w:basedOn w:val="af2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7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6">
    <w:name w:val="מ. מדורג תו"/>
    <w:basedOn w:val="af4"/>
    <w:link w:val="af5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8"/>
    <w:uiPriority w:val="1"/>
    <w:qFormat/>
    <w:rsid w:val="00A243F0"/>
    <w:pPr>
      <w:numPr>
        <w:numId w:val="7"/>
      </w:numPr>
    </w:pPr>
  </w:style>
  <w:style w:type="character" w:customStyle="1" w:styleId="af7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9">
    <w:name w:val="תבליט"/>
    <w:basedOn w:val="a1"/>
    <w:link w:val="afa"/>
    <w:qFormat/>
    <w:rsid w:val="0072683D"/>
    <w:pPr>
      <w:ind w:left="360"/>
    </w:pPr>
  </w:style>
  <w:style w:type="character" w:customStyle="1" w:styleId="af8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b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a">
    <w:name w:val="תבליט תו"/>
    <w:basedOn w:val="ad"/>
    <w:link w:val="af9"/>
    <w:rsid w:val="0072683D"/>
    <w:rPr>
      <w:rFonts w:cs="David"/>
      <w:sz w:val="22"/>
      <w:szCs w:val="24"/>
      <w:lang w:eastAsia="he-IL"/>
    </w:rPr>
  </w:style>
  <w:style w:type="paragraph" w:styleId="afc">
    <w:name w:val="Balloon Text"/>
    <w:basedOn w:val="a5"/>
    <w:link w:val="afd"/>
    <w:semiHidden/>
    <w:rsid w:val="00A64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טקסט בלונים תו"/>
    <w:basedOn w:val="a6"/>
    <w:link w:val="afc"/>
    <w:semiHidden/>
    <w:rsid w:val="00A64BA8"/>
    <w:rPr>
      <w:rFonts w:ascii="Tahoma" w:hAnsi="Tahoma" w:cs="Tahoma"/>
      <w:sz w:val="16"/>
      <w:szCs w:val="16"/>
      <w:lang w:eastAsia="he-IL"/>
    </w:rPr>
  </w:style>
  <w:style w:type="table" w:customStyle="1" w:styleId="12">
    <w:name w:val="טבלת רשת1"/>
    <w:basedOn w:val="a7"/>
    <w:next w:val="afb"/>
    <w:uiPriority w:val="59"/>
    <w:rsid w:val="004D385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5"/>
    <w:uiPriority w:val="34"/>
    <w:semiHidden/>
    <w:qFormat/>
    <w:rsid w:val="005C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lv-tichnun@moin.gov.il" TargetMode="External"/><Relationship Id="rId2" Type="http://schemas.openxmlformats.org/officeDocument/2006/relationships/hyperlink" Target="http://www.moin.gov.il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lv-tichnun@iplan.gov.il" TargetMode="External"/><Relationship Id="rId2" Type="http://schemas.openxmlformats.org/officeDocument/2006/relationships/hyperlink" Target="http://www.moin.gov.i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85B0-6B1C-4E9F-8706-F3A5B695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6713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יעקב קרייזלר</cp:lastModifiedBy>
  <cp:revision>2</cp:revision>
  <cp:lastPrinted>2015-07-16T10:03:00Z</cp:lastPrinted>
  <dcterms:created xsi:type="dcterms:W3CDTF">2018-01-31T08:42:00Z</dcterms:created>
  <dcterms:modified xsi:type="dcterms:W3CDTF">2018-01-31T08:42:00Z</dcterms:modified>
</cp:coreProperties>
</file>